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5536" w14:textId="77777777" w:rsidR="009449B4" w:rsidRPr="00274D4F" w:rsidRDefault="009449B4" w:rsidP="0023431C">
      <w:pPr>
        <w:pStyle w:val="Ttulo1"/>
        <w:numPr>
          <w:ilvl w:val="0"/>
          <w:numId w:val="0"/>
        </w:numPr>
        <w:jc w:val="center"/>
        <w:rPr>
          <w:rFonts w:ascii="Myriad Pro" w:hAnsi="Myriad Pro"/>
          <w:b w:val="0"/>
        </w:rPr>
      </w:pPr>
    </w:p>
    <w:p w14:paraId="255ADB73" w14:textId="77777777" w:rsidR="009449B4" w:rsidRPr="00274D4F" w:rsidRDefault="009449B4" w:rsidP="0023431C">
      <w:pPr>
        <w:pStyle w:val="Ttulo1"/>
        <w:numPr>
          <w:ilvl w:val="0"/>
          <w:numId w:val="0"/>
        </w:numPr>
        <w:jc w:val="center"/>
        <w:rPr>
          <w:rFonts w:ascii="Myriad Pro" w:hAnsi="Myriad Pro"/>
          <w:b w:val="0"/>
        </w:rPr>
      </w:pPr>
    </w:p>
    <w:p w14:paraId="29A194A9" w14:textId="77777777" w:rsidR="000B0710" w:rsidRPr="00274D4F" w:rsidRDefault="000B0710" w:rsidP="000B0710">
      <w:pPr>
        <w:rPr>
          <w:rFonts w:ascii="Myriad Pro" w:hAnsi="Myriad Pro"/>
        </w:rPr>
      </w:pPr>
    </w:p>
    <w:p w14:paraId="36D0CE9E" w14:textId="77777777" w:rsidR="000B0710" w:rsidRPr="00274D4F" w:rsidRDefault="000B0710" w:rsidP="000B0710">
      <w:pPr>
        <w:rPr>
          <w:rFonts w:ascii="Myriad Pro" w:hAnsi="Myriad Pro"/>
        </w:rPr>
      </w:pPr>
    </w:p>
    <w:p w14:paraId="03935839" w14:textId="77777777" w:rsidR="009449B4" w:rsidRPr="00274D4F" w:rsidRDefault="009449B4" w:rsidP="0023431C">
      <w:pPr>
        <w:rPr>
          <w:rFonts w:ascii="Myriad Pro" w:hAnsi="Myriad Pro"/>
        </w:rPr>
      </w:pPr>
    </w:p>
    <w:p w14:paraId="46AC277F" w14:textId="38FA763C" w:rsidR="009449B4" w:rsidRPr="00274D4F" w:rsidRDefault="007A6156" w:rsidP="007A6156">
      <w:pPr>
        <w:jc w:val="center"/>
        <w:rPr>
          <w:rFonts w:ascii="Myriad Pro" w:hAnsi="Myriad Pro"/>
        </w:rPr>
      </w:pPr>
      <w:r w:rsidRPr="006C6D84">
        <w:rPr>
          <w:noProof/>
          <w:lang w:eastAsia="es-CL"/>
        </w:rPr>
        <w:drawing>
          <wp:inline distT="0" distB="0" distL="0" distR="0" wp14:anchorId="7B96B6E8" wp14:editId="1CAB3F82">
            <wp:extent cx="1933575" cy="1759996"/>
            <wp:effectExtent l="0" t="0" r="0" b="0"/>
            <wp:docPr id="1" name="Imagen 6" descr="Descripción: logo m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 mop"/>
                    <pic:cNvPicPr>
                      <a:picLocks noChangeAspect="1" noChangeArrowheads="1"/>
                    </pic:cNvPicPr>
                  </pic:nvPicPr>
                  <pic:blipFill>
                    <a:blip r:embed="rId11"/>
                    <a:srcRect/>
                    <a:stretch>
                      <a:fillRect/>
                    </a:stretch>
                  </pic:blipFill>
                  <pic:spPr bwMode="auto">
                    <a:xfrm>
                      <a:off x="0" y="0"/>
                      <a:ext cx="1939827" cy="1765686"/>
                    </a:xfrm>
                    <a:prstGeom prst="rect">
                      <a:avLst/>
                    </a:prstGeom>
                    <a:noFill/>
                    <a:ln w="9525">
                      <a:noFill/>
                      <a:miter lim="800000"/>
                      <a:headEnd/>
                      <a:tailEnd/>
                    </a:ln>
                  </pic:spPr>
                </pic:pic>
              </a:graphicData>
            </a:graphic>
          </wp:inline>
        </w:drawing>
      </w:r>
    </w:p>
    <w:p w14:paraId="182E9AC7" w14:textId="77777777" w:rsidR="009449B4" w:rsidRPr="00DD3051" w:rsidRDefault="009449B4" w:rsidP="00DD3051"/>
    <w:p w14:paraId="4EF48FBF" w14:textId="77777777" w:rsidR="000B0710" w:rsidRPr="007A6156" w:rsidRDefault="000B0710" w:rsidP="007A6156">
      <w:pPr>
        <w:pStyle w:val="Ttulo"/>
        <w:rPr>
          <w:rFonts w:ascii="Arial" w:hAnsi="Arial" w:cs="Arial"/>
        </w:rPr>
      </w:pPr>
    </w:p>
    <w:p w14:paraId="173B68DB" w14:textId="21254B6A" w:rsidR="006014B2" w:rsidRDefault="00615650" w:rsidP="007A6156">
      <w:pPr>
        <w:pStyle w:val="Ttulo"/>
        <w:rPr>
          <w:rFonts w:ascii="Arial" w:hAnsi="Arial" w:cs="Arial"/>
          <w:b/>
          <w:bCs/>
          <w:sz w:val="32"/>
          <w:szCs w:val="32"/>
        </w:rPr>
      </w:pPr>
      <w:r>
        <w:rPr>
          <w:rFonts w:ascii="Arial" w:hAnsi="Arial" w:cs="Arial"/>
          <w:b/>
          <w:bCs/>
          <w:sz w:val="32"/>
          <w:szCs w:val="32"/>
        </w:rPr>
        <w:t xml:space="preserve">Infraestructura </w:t>
      </w:r>
      <w:r w:rsidR="00027C5B">
        <w:rPr>
          <w:rFonts w:ascii="Arial" w:hAnsi="Arial" w:cs="Arial"/>
          <w:b/>
          <w:bCs/>
          <w:sz w:val="32"/>
          <w:szCs w:val="32"/>
        </w:rPr>
        <w:t xml:space="preserve">para el </w:t>
      </w:r>
      <w:r w:rsidR="00BE411D">
        <w:rPr>
          <w:rFonts w:ascii="Arial" w:hAnsi="Arial" w:cs="Arial"/>
          <w:b/>
          <w:bCs/>
          <w:sz w:val="32"/>
          <w:szCs w:val="32"/>
        </w:rPr>
        <w:t>Buen Vivir</w:t>
      </w:r>
    </w:p>
    <w:p w14:paraId="2EBDAB64" w14:textId="77777777" w:rsidR="007A6156" w:rsidRPr="007A6156" w:rsidRDefault="007A6156" w:rsidP="007A6156"/>
    <w:p w14:paraId="5D32648F" w14:textId="20CF4A72" w:rsidR="009449B4" w:rsidRPr="007A6156" w:rsidRDefault="00A52E22" w:rsidP="007A6156">
      <w:pPr>
        <w:pStyle w:val="Ttulo"/>
        <w:rPr>
          <w:rFonts w:ascii="Arial" w:hAnsi="Arial" w:cs="Arial"/>
          <w:b/>
          <w:bCs/>
          <w:sz w:val="32"/>
          <w:szCs w:val="32"/>
        </w:rPr>
      </w:pPr>
      <w:r w:rsidRPr="007A6156">
        <w:rPr>
          <w:rFonts w:ascii="Arial" w:hAnsi="Arial" w:cs="Arial"/>
          <w:b/>
          <w:bCs/>
          <w:sz w:val="32"/>
          <w:szCs w:val="32"/>
        </w:rPr>
        <w:t>Ministerio de Obras Públicas</w:t>
      </w:r>
    </w:p>
    <w:p w14:paraId="7148BB55" w14:textId="77777777" w:rsidR="000B0710" w:rsidRPr="00DD3051" w:rsidRDefault="000B0710" w:rsidP="00DD3051"/>
    <w:p w14:paraId="0E478F9D" w14:textId="77777777" w:rsidR="000B0710" w:rsidRPr="00DD3051" w:rsidRDefault="000B0710" w:rsidP="00DD3051"/>
    <w:p w14:paraId="76525CD9" w14:textId="77777777" w:rsidR="000B0710" w:rsidRPr="00274D4F" w:rsidRDefault="000B0710" w:rsidP="000B0710">
      <w:pPr>
        <w:rPr>
          <w:rFonts w:ascii="Myriad Pro" w:hAnsi="Myriad Pro"/>
        </w:rPr>
      </w:pPr>
    </w:p>
    <w:p w14:paraId="50C0DED3" w14:textId="77777777" w:rsidR="000B0710" w:rsidRPr="00274D4F" w:rsidRDefault="000B0710" w:rsidP="000B0710">
      <w:pPr>
        <w:rPr>
          <w:rFonts w:ascii="Myriad Pro" w:hAnsi="Myriad Pro"/>
        </w:rPr>
      </w:pPr>
    </w:p>
    <w:p w14:paraId="1231375F" w14:textId="7D9A7EB8" w:rsidR="000B0710" w:rsidRPr="00274D4F" w:rsidRDefault="00A52E22" w:rsidP="000B0710">
      <w:pPr>
        <w:spacing w:after="0"/>
        <w:rPr>
          <w:rFonts w:ascii="Myriad Pro" w:hAnsi="Myriad Pro"/>
        </w:rPr>
      </w:pPr>
      <w:r>
        <w:rPr>
          <w:rFonts w:ascii="Myriad Pro" w:hAnsi="Myriad Pro"/>
        </w:rPr>
        <w:t>FECHA</w:t>
      </w:r>
      <w:r w:rsidR="00A617DA">
        <w:rPr>
          <w:rFonts w:ascii="Myriad Pro" w:hAnsi="Myriad Pro"/>
        </w:rPr>
        <w:t xml:space="preserve">: </w:t>
      </w:r>
      <w:r w:rsidR="000972DB">
        <w:rPr>
          <w:rFonts w:ascii="Myriad Pro" w:hAnsi="Myriad Pro"/>
        </w:rPr>
        <w:t>Febrero 2026</w:t>
      </w:r>
    </w:p>
    <w:p w14:paraId="39C495D5" w14:textId="77777777" w:rsidR="009449B4" w:rsidRPr="00274D4F" w:rsidRDefault="009449B4" w:rsidP="0023431C">
      <w:pPr>
        <w:rPr>
          <w:rFonts w:ascii="Myriad Pro" w:hAnsi="Myriad Pro"/>
        </w:rPr>
      </w:pPr>
    </w:p>
    <w:p w14:paraId="45B4D236" w14:textId="77777777" w:rsidR="009449B4" w:rsidRPr="00274D4F" w:rsidRDefault="009449B4" w:rsidP="009449B4">
      <w:pPr>
        <w:rPr>
          <w:rFonts w:ascii="Myriad Pro" w:hAnsi="Myriad Pro"/>
        </w:rPr>
      </w:pPr>
    </w:p>
    <w:p w14:paraId="44F1468C" w14:textId="4FCFBC04" w:rsidR="009449B4" w:rsidRPr="00274D4F" w:rsidRDefault="009449B4" w:rsidP="009449B4">
      <w:pPr>
        <w:rPr>
          <w:rFonts w:ascii="Myriad Pro" w:hAnsi="Myriad Pro"/>
        </w:rPr>
      </w:pPr>
    </w:p>
    <w:p w14:paraId="772C3608" w14:textId="77777777" w:rsidR="009449B4" w:rsidRPr="00274D4F" w:rsidRDefault="009449B4" w:rsidP="009449B4">
      <w:pPr>
        <w:rPr>
          <w:rFonts w:ascii="Myriad Pro" w:hAnsi="Myriad Pro"/>
        </w:rPr>
      </w:pPr>
    </w:p>
    <w:p w14:paraId="7621D48D" w14:textId="77777777" w:rsidR="00480AC7" w:rsidRPr="00274D4F" w:rsidRDefault="00480AC7" w:rsidP="009449B4">
      <w:pPr>
        <w:rPr>
          <w:rFonts w:ascii="Myriad Pro" w:hAnsi="Myriad Pro"/>
        </w:rPr>
        <w:sectPr w:rsidR="00480AC7" w:rsidRPr="00274D4F" w:rsidSect="003677E2">
          <w:headerReference w:type="default" r:id="rId12"/>
          <w:footerReference w:type="default" r:id="rId13"/>
          <w:pgSz w:w="12240" w:h="15840"/>
          <w:pgMar w:top="1276" w:right="1327" w:bottom="568" w:left="1418" w:header="0" w:footer="0" w:gutter="0"/>
          <w:cols w:space="708"/>
          <w:docGrid w:linePitch="360"/>
        </w:sectPr>
      </w:pPr>
    </w:p>
    <w:p w14:paraId="0AE42AF9" w14:textId="61F32A26" w:rsidR="001B4265" w:rsidRDefault="001B4265" w:rsidP="009449B4">
      <w:pPr>
        <w:rPr>
          <w:rFonts w:ascii="Myriad Pro" w:hAnsi="Myriad Pro"/>
        </w:rPr>
      </w:pPr>
    </w:p>
    <w:sdt>
      <w:sdtPr>
        <w:rPr>
          <w:rFonts w:asciiTheme="minorHAnsi" w:eastAsiaTheme="minorEastAsia" w:hAnsiTheme="minorHAnsi" w:cstheme="minorBidi"/>
          <w:color w:val="auto"/>
          <w:sz w:val="22"/>
          <w:szCs w:val="22"/>
          <w:lang w:val="es-ES" w:eastAsia="en-US"/>
        </w:rPr>
        <w:id w:val="-2116665757"/>
        <w:docPartObj>
          <w:docPartGallery w:val="Table of Contents"/>
          <w:docPartUnique/>
        </w:docPartObj>
      </w:sdtPr>
      <w:sdtEndPr>
        <w:rPr>
          <w:b/>
          <w:bCs/>
          <w:sz w:val="24"/>
          <w:szCs w:val="24"/>
        </w:rPr>
      </w:sdtEndPr>
      <w:sdtContent>
        <w:p w14:paraId="12EE852D" w14:textId="173836F5" w:rsidR="001B4265" w:rsidRPr="007A6156" w:rsidRDefault="001B4265">
          <w:pPr>
            <w:pStyle w:val="TtuloTDC"/>
            <w:rPr>
              <w:rFonts w:ascii="Times New Roman" w:hAnsi="Times New Roman" w:cs="Times New Roman"/>
              <w:b/>
              <w:bCs/>
              <w:color w:val="002060"/>
            </w:rPr>
          </w:pPr>
          <w:r w:rsidRPr="007A6156">
            <w:rPr>
              <w:rFonts w:ascii="Times New Roman" w:hAnsi="Times New Roman" w:cs="Times New Roman"/>
              <w:b/>
              <w:bCs/>
              <w:color w:val="002060"/>
              <w:lang w:val="es-ES"/>
            </w:rPr>
            <w:t>Contenido</w:t>
          </w:r>
        </w:p>
        <w:p w14:paraId="56477B35" w14:textId="00AB8905" w:rsidR="004A3B93" w:rsidRDefault="001B4265">
          <w:pPr>
            <w:pStyle w:val="TDC1"/>
            <w:tabs>
              <w:tab w:val="left" w:pos="480"/>
              <w:tab w:val="right" w:leader="dot" w:pos="9485"/>
            </w:tabs>
            <w:rPr>
              <w:rFonts w:eastAsiaTheme="minorEastAsia"/>
              <w:noProof/>
              <w:kern w:val="2"/>
              <w:sz w:val="24"/>
              <w:szCs w:val="24"/>
              <w:lang w:eastAsia="es-CL"/>
              <w14:ligatures w14:val="standardContextual"/>
            </w:rPr>
          </w:pPr>
          <w:r w:rsidRPr="00361078">
            <w:rPr>
              <w:rFonts w:ascii="Times New Roman" w:hAnsi="Times New Roman" w:cs="Times New Roman"/>
              <w:sz w:val="24"/>
              <w:szCs w:val="24"/>
            </w:rPr>
            <w:fldChar w:fldCharType="begin"/>
          </w:r>
          <w:r w:rsidRPr="00361078">
            <w:rPr>
              <w:rFonts w:ascii="Times New Roman" w:hAnsi="Times New Roman" w:cs="Times New Roman"/>
              <w:sz w:val="24"/>
              <w:szCs w:val="24"/>
            </w:rPr>
            <w:instrText xml:space="preserve"> TOC \o "1-3" \h \z \u </w:instrText>
          </w:r>
          <w:r w:rsidRPr="00361078">
            <w:rPr>
              <w:rFonts w:ascii="Times New Roman" w:hAnsi="Times New Roman" w:cs="Times New Roman"/>
              <w:sz w:val="24"/>
              <w:szCs w:val="24"/>
            </w:rPr>
            <w:fldChar w:fldCharType="separate"/>
          </w:r>
          <w:hyperlink w:anchor="_Toc213772444" w:history="1">
            <w:r w:rsidR="004A3B93" w:rsidRPr="00092C1F">
              <w:rPr>
                <w:rStyle w:val="Hipervnculo"/>
                <w:rFonts w:ascii="Arial" w:hAnsi="Arial" w:cs="Arial"/>
                <w:noProof/>
              </w:rPr>
              <w:t>1</w:t>
            </w:r>
            <w:r w:rsidR="004A3B93">
              <w:rPr>
                <w:rFonts w:eastAsiaTheme="minorEastAsia"/>
                <w:noProof/>
                <w:kern w:val="2"/>
                <w:sz w:val="24"/>
                <w:szCs w:val="24"/>
                <w:lang w:eastAsia="es-CL"/>
                <w14:ligatures w14:val="standardContextual"/>
              </w:rPr>
              <w:tab/>
            </w:r>
            <w:r w:rsidR="004A3B93" w:rsidRPr="00092C1F">
              <w:rPr>
                <w:rStyle w:val="Hipervnculo"/>
                <w:rFonts w:ascii="Arial" w:hAnsi="Arial" w:cs="Arial"/>
                <w:noProof/>
              </w:rPr>
              <w:t>Introducción y relevancia del tema</w:t>
            </w:r>
            <w:r w:rsidR="004A3B93">
              <w:rPr>
                <w:noProof/>
                <w:webHidden/>
              </w:rPr>
              <w:tab/>
            </w:r>
            <w:r w:rsidR="004A3B93">
              <w:rPr>
                <w:noProof/>
                <w:webHidden/>
              </w:rPr>
              <w:fldChar w:fldCharType="begin"/>
            </w:r>
            <w:r w:rsidR="004A3B93">
              <w:rPr>
                <w:noProof/>
                <w:webHidden/>
              </w:rPr>
              <w:instrText xml:space="preserve"> PAGEREF _Toc213772444 \h </w:instrText>
            </w:r>
            <w:r w:rsidR="004A3B93">
              <w:rPr>
                <w:noProof/>
                <w:webHidden/>
              </w:rPr>
            </w:r>
            <w:r w:rsidR="004A3B93">
              <w:rPr>
                <w:noProof/>
                <w:webHidden/>
              </w:rPr>
              <w:fldChar w:fldCharType="separate"/>
            </w:r>
            <w:r w:rsidR="004A3B93">
              <w:rPr>
                <w:noProof/>
                <w:webHidden/>
              </w:rPr>
              <w:t>3</w:t>
            </w:r>
            <w:r w:rsidR="004A3B93">
              <w:rPr>
                <w:noProof/>
                <w:webHidden/>
              </w:rPr>
              <w:fldChar w:fldCharType="end"/>
            </w:r>
          </w:hyperlink>
        </w:p>
        <w:p w14:paraId="0F4E7D8B" w14:textId="503982E9" w:rsidR="004A3B93" w:rsidRDefault="004A3B93">
          <w:pPr>
            <w:pStyle w:val="TDC1"/>
            <w:tabs>
              <w:tab w:val="left" w:pos="480"/>
              <w:tab w:val="right" w:leader="dot" w:pos="9485"/>
            </w:tabs>
            <w:rPr>
              <w:rFonts w:eastAsiaTheme="minorEastAsia"/>
              <w:noProof/>
              <w:kern w:val="2"/>
              <w:sz w:val="24"/>
              <w:szCs w:val="24"/>
              <w:lang w:eastAsia="es-CL"/>
              <w14:ligatures w14:val="standardContextual"/>
            </w:rPr>
          </w:pPr>
          <w:hyperlink w:anchor="_Toc213772445" w:history="1">
            <w:r w:rsidRPr="00092C1F">
              <w:rPr>
                <w:rStyle w:val="Hipervnculo"/>
                <w:rFonts w:ascii="Arial" w:hAnsi="Arial" w:cs="Arial"/>
                <w:noProof/>
              </w:rPr>
              <w:t>2</w:t>
            </w:r>
            <w:r>
              <w:rPr>
                <w:rFonts w:eastAsiaTheme="minorEastAsia"/>
                <w:noProof/>
                <w:kern w:val="2"/>
                <w:sz w:val="24"/>
                <w:szCs w:val="24"/>
                <w:lang w:eastAsia="es-CL"/>
                <w14:ligatures w14:val="standardContextual"/>
              </w:rPr>
              <w:tab/>
            </w:r>
            <w:r w:rsidRPr="00092C1F">
              <w:rPr>
                <w:rStyle w:val="Hipervnculo"/>
                <w:rFonts w:ascii="Arial" w:hAnsi="Arial" w:cs="Arial"/>
                <w:noProof/>
              </w:rPr>
              <w:t>Diagnóstico - ¿Qué recibimos en 2022?</w:t>
            </w:r>
            <w:r>
              <w:rPr>
                <w:noProof/>
                <w:webHidden/>
              </w:rPr>
              <w:tab/>
            </w:r>
            <w:r>
              <w:rPr>
                <w:noProof/>
                <w:webHidden/>
              </w:rPr>
              <w:fldChar w:fldCharType="begin"/>
            </w:r>
            <w:r>
              <w:rPr>
                <w:noProof/>
                <w:webHidden/>
              </w:rPr>
              <w:instrText xml:space="preserve"> PAGEREF _Toc213772445 \h </w:instrText>
            </w:r>
            <w:r>
              <w:rPr>
                <w:noProof/>
                <w:webHidden/>
              </w:rPr>
            </w:r>
            <w:r>
              <w:rPr>
                <w:noProof/>
                <w:webHidden/>
              </w:rPr>
              <w:fldChar w:fldCharType="separate"/>
            </w:r>
            <w:r>
              <w:rPr>
                <w:noProof/>
                <w:webHidden/>
              </w:rPr>
              <w:t>3</w:t>
            </w:r>
            <w:r>
              <w:rPr>
                <w:noProof/>
                <w:webHidden/>
              </w:rPr>
              <w:fldChar w:fldCharType="end"/>
            </w:r>
          </w:hyperlink>
        </w:p>
        <w:p w14:paraId="5132F671" w14:textId="02736F91" w:rsidR="004A3B93" w:rsidRDefault="004A3B93">
          <w:pPr>
            <w:pStyle w:val="TDC1"/>
            <w:tabs>
              <w:tab w:val="left" w:pos="480"/>
              <w:tab w:val="right" w:leader="dot" w:pos="9485"/>
            </w:tabs>
            <w:rPr>
              <w:rFonts w:eastAsiaTheme="minorEastAsia"/>
              <w:noProof/>
              <w:kern w:val="2"/>
              <w:sz w:val="24"/>
              <w:szCs w:val="24"/>
              <w:lang w:eastAsia="es-CL"/>
              <w14:ligatures w14:val="standardContextual"/>
            </w:rPr>
          </w:pPr>
          <w:hyperlink w:anchor="_Toc213772446" w:history="1">
            <w:r w:rsidRPr="00092C1F">
              <w:rPr>
                <w:rStyle w:val="Hipervnculo"/>
                <w:rFonts w:ascii="Arial" w:hAnsi="Arial" w:cs="Arial"/>
                <w:noProof/>
              </w:rPr>
              <w:t>3</w:t>
            </w:r>
            <w:r>
              <w:rPr>
                <w:rFonts w:eastAsiaTheme="minorEastAsia"/>
                <w:noProof/>
                <w:kern w:val="2"/>
                <w:sz w:val="24"/>
                <w:szCs w:val="24"/>
                <w:lang w:eastAsia="es-CL"/>
                <w14:ligatures w14:val="standardContextual"/>
              </w:rPr>
              <w:tab/>
            </w:r>
            <w:r w:rsidRPr="00092C1F">
              <w:rPr>
                <w:rStyle w:val="Hipervnculo"/>
                <w:rFonts w:ascii="Arial" w:hAnsi="Arial" w:cs="Arial"/>
                <w:noProof/>
              </w:rPr>
              <w:t>Avances durante el Gobierno (2022-2026)</w:t>
            </w:r>
            <w:r>
              <w:rPr>
                <w:noProof/>
                <w:webHidden/>
              </w:rPr>
              <w:tab/>
            </w:r>
            <w:r>
              <w:rPr>
                <w:noProof/>
                <w:webHidden/>
              </w:rPr>
              <w:fldChar w:fldCharType="begin"/>
            </w:r>
            <w:r>
              <w:rPr>
                <w:noProof/>
                <w:webHidden/>
              </w:rPr>
              <w:instrText xml:space="preserve"> PAGEREF _Toc213772446 \h </w:instrText>
            </w:r>
            <w:r>
              <w:rPr>
                <w:noProof/>
                <w:webHidden/>
              </w:rPr>
            </w:r>
            <w:r>
              <w:rPr>
                <w:noProof/>
                <w:webHidden/>
              </w:rPr>
              <w:fldChar w:fldCharType="separate"/>
            </w:r>
            <w:r>
              <w:rPr>
                <w:noProof/>
                <w:webHidden/>
              </w:rPr>
              <w:t>3</w:t>
            </w:r>
            <w:r>
              <w:rPr>
                <w:noProof/>
                <w:webHidden/>
              </w:rPr>
              <w:fldChar w:fldCharType="end"/>
            </w:r>
          </w:hyperlink>
        </w:p>
        <w:p w14:paraId="2B2528B1" w14:textId="0B832F91" w:rsidR="004A3B93" w:rsidRDefault="004A3B93">
          <w:pPr>
            <w:pStyle w:val="TDC1"/>
            <w:tabs>
              <w:tab w:val="left" w:pos="480"/>
              <w:tab w:val="right" w:leader="dot" w:pos="9485"/>
            </w:tabs>
            <w:rPr>
              <w:rFonts w:eastAsiaTheme="minorEastAsia"/>
              <w:noProof/>
              <w:kern w:val="2"/>
              <w:sz w:val="24"/>
              <w:szCs w:val="24"/>
              <w:lang w:eastAsia="es-CL"/>
              <w14:ligatures w14:val="standardContextual"/>
            </w:rPr>
          </w:pPr>
          <w:hyperlink w:anchor="_Toc213772447" w:history="1">
            <w:r w:rsidRPr="00092C1F">
              <w:rPr>
                <w:rStyle w:val="Hipervnculo"/>
                <w:rFonts w:ascii="Arial" w:hAnsi="Arial" w:cs="Arial"/>
                <w:noProof/>
              </w:rPr>
              <w:t>4</w:t>
            </w:r>
            <w:r>
              <w:rPr>
                <w:rFonts w:eastAsiaTheme="minorEastAsia"/>
                <w:noProof/>
                <w:kern w:val="2"/>
                <w:sz w:val="24"/>
                <w:szCs w:val="24"/>
                <w:lang w:eastAsia="es-CL"/>
                <w14:ligatures w14:val="standardContextual"/>
              </w:rPr>
              <w:tab/>
            </w:r>
            <w:r w:rsidRPr="00092C1F">
              <w:rPr>
                <w:rStyle w:val="Hipervnculo"/>
                <w:rFonts w:ascii="Arial" w:hAnsi="Arial" w:cs="Arial"/>
                <w:noProof/>
              </w:rPr>
              <w:t>Dificultades y aprendizajes</w:t>
            </w:r>
            <w:r>
              <w:rPr>
                <w:noProof/>
                <w:webHidden/>
              </w:rPr>
              <w:tab/>
            </w:r>
            <w:r>
              <w:rPr>
                <w:noProof/>
                <w:webHidden/>
              </w:rPr>
              <w:fldChar w:fldCharType="begin"/>
            </w:r>
            <w:r>
              <w:rPr>
                <w:noProof/>
                <w:webHidden/>
              </w:rPr>
              <w:instrText xml:space="preserve"> PAGEREF _Toc213772447 \h </w:instrText>
            </w:r>
            <w:r>
              <w:rPr>
                <w:noProof/>
                <w:webHidden/>
              </w:rPr>
            </w:r>
            <w:r>
              <w:rPr>
                <w:noProof/>
                <w:webHidden/>
              </w:rPr>
              <w:fldChar w:fldCharType="separate"/>
            </w:r>
            <w:r>
              <w:rPr>
                <w:noProof/>
                <w:webHidden/>
              </w:rPr>
              <w:t>4</w:t>
            </w:r>
            <w:r>
              <w:rPr>
                <w:noProof/>
                <w:webHidden/>
              </w:rPr>
              <w:fldChar w:fldCharType="end"/>
            </w:r>
          </w:hyperlink>
        </w:p>
        <w:p w14:paraId="4B96C765" w14:textId="090E5629" w:rsidR="004A3B93" w:rsidRDefault="004A3B93">
          <w:pPr>
            <w:pStyle w:val="TDC1"/>
            <w:tabs>
              <w:tab w:val="left" w:pos="480"/>
              <w:tab w:val="right" w:leader="dot" w:pos="9485"/>
            </w:tabs>
            <w:rPr>
              <w:rFonts w:eastAsiaTheme="minorEastAsia"/>
              <w:noProof/>
              <w:kern w:val="2"/>
              <w:sz w:val="24"/>
              <w:szCs w:val="24"/>
              <w:lang w:eastAsia="es-CL"/>
              <w14:ligatures w14:val="standardContextual"/>
            </w:rPr>
          </w:pPr>
          <w:hyperlink w:anchor="_Toc213772448" w:history="1">
            <w:r w:rsidRPr="00092C1F">
              <w:rPr>
                <w:rStyle w:val="Hipervnculo"/>
                <w:rFonts w:ascii="Arial" w:hAnsi="Arial" w:cs="Arial"/>
                <w:noProof/>
              </w:rPr>
              <w:t>5</w:t>
            </w:r>
            <w:r>
              <w:rPr>
                <w:rFonts w:eastAsiaTheme="minorEastAsia"/>
                <w:noProof/>
                <w:kern w:val="2"/>
                <w:sz w:val="24"/>
                <w:szCs w:val="24"/>
                <w:lang w:eastAsia="es-CL"/>
                <w14:ligatures w14:val="standardContextual"/>
              </w:rPr>
              <w:tab/>
            </w:r>
            <w:r w:rsidRPr="00092C1F">
              <w:rPr>
                <w:rStyle w:val="Hipervnculo"/>
                <w:rFonts w:ascii="Arial" w:hAnsi="Arial" w:cs="Arial"/>
                <w:noProof/>
              </w:rPr>
              <w:t>Proyección y recomendaciones de continuidad</w:t>
            </w:r>
            <w:r>
              <w:rPr>
                <w:noProof/>
                <w:webHidden/>
              </w:rPr>
              <w:tab/>
            </w:r>
            <w:r>
              <w:rPr>
                <w:noProof/>
                <w:webHidden/>
              </w:rPr>
              <w:fldChar w:fldCharType="begin"/>
            </w:r>
            <w:r>
              <w:rPr>
                <w:noProof/>
                <w:webHidden/>
              </w:rPr>
              <w:instrText xml:space="preserve"> PAGEREF _Toc213772448 \h </w:instrText>
            </w:r>
            <w:r>
              <w:rPr>
                <w:noProof/>
                <w:webHidden/>
              </w:rPr>
            </w:r>
            <w:r>
              <w:rPr>
                <w:noProof/>
                <w:webHidden/>
              </w:rPr>
              <w:fldChar w:fldCharType="separate"/>
            </w:r>
            <w:r>
              <w:rPr>
                <w:noProof/>
                <w:webHidden/>
              </w:rPr>
              <w:t>4</w:t>
            </w:r>
            <w:r>
              <w:rPr>
                <w:noProof/>
                <w:webHidden/>
              </w:rPr>
              <w:fldChar w:fldCharType="end"/>
            </w:r>
          </w:hyperlink>
        </w:p>
        <w:p w14:paraId="6377D28F" w14:textId="726C5743" w:rsidR="001B4265" w:rsidRPr="00361078" w:rsidRDefault="001B4265">
          <w:pPr>
            <w:rPr>
              <w:rFonts w:ascii="Times New Roman" w:hAnsi="Times New Roman" w:cs="Times New Roman"/>
              <w:sz w:val="24"/>
              <w:szCs w:val="24"/>
            </w:rPr>
          </w:pPr>
          <w:r w:rsidRPr="00361078">
            <w:rPr>
              <w:rFonts w:ascii="Times New Roman" w:hAnsi="Times New Roman" w:cs="Times New Roman"/>
              <w:b/>
              <w:bCs/>
              <w:sz w:val="24"/>
              <w:szCs w:val="24"/>
              <w:lang w:val="es-ES"/>
            </w:rPr>
            <w:fldChar w:fldCharType="end"/>
          </w:r>
        </w:p>
      </w:sdtContent>
    </w:sdt>
    <w:p w14:paraId="48A4E09A" w14:textId="77777777" w:rsidR="001B4265" w:rsidRDefault="001B4265">
      <w:pPr>
        <w:jc w:val="left"/>
        <w:rPr>
          <w:rFonts w:ascii="Myriad Pro" w:hAnsi="Myriad Pro"/>
        </w:rPr>
      </w:pPr>
      <w:r>
        <w:rPr>
          <w:rFonts w:ascii="Myriad Pro" w:hAnsi="Myriad Pro"/>
        </w:rPr>
        <w:br w:type="page"/>
      </w:r>
    </w:p>
    <w:p w14:paraId="197CC08A" w14:textId="77777777" w:rsidR="009449B4" w:rsidRPr="007A6156" w:rsidRDefault="009449B4" w:rsidP="009449B4">
      <w:pPr>
        <w:rPr>
          <w:rFonts w:ascii="Arial" w:hAnsi="Arial" w:cs="Arial"/>
          <w:color w:val="002060"/>
        </w:rPr>
      </w:pPr>
    </w:p>
    <w:p w14:paraId="6E514EC6" w14:textId="6FC51824" w:rsidR="009449B4" w:rsidRPr="007A6156" w:rsidRDefault="6CE75F2E" w:rsidP="00AF7D5B">
      <w:pPr>
        <w:pStyle w:val="Ttulo1"/>
        <w:ind w:left="426" w:hanging="426"/>
        <w:rPr>
          <w:rFonts w:ascii="Arial" w:hAnsi="Arial" w:cs="Arial"/>
          <w:color w:val="002060"/>
        </w:rPr>
      </w:pPr>
      <w:bookmarkStart w:id="0" w:name="_Toc213772444"/>
      <w:r w:rsidRPr="4742C33E">
        <w:rPr>
          <w:rFonts w:ascii="Arial" w:hAnsi="Arial" w:cs="Arial"/>
          <w:color w:val="002060"/>
        </w:rPr>
        <w:t>Introducción</w:t>
      </w:r>
      <w:r w:rsidR="0E69C6DA" w:rsidRPr="4742C33E">
        <w:rPr>
          <w:rFonts w:ascii="Arial" w:hAnsi="Arial" w:cs="Arial"/>
          <w:color w:val="002060"/>
        </w:rPr>
        <w:t xml:space="preserve"> y relevancia del tema</w:t>
      </w:r>
      <w:bookmarkEnd w:id="0"/>
    </w:p>
    <w:p w14:paraId="1A809708" w14:textId="77777777" w:rsidR="00A52E22" w:rsidRPr="00AC1CD4" w:rsidRDefault="00A52E22" w:rsidP="00A52E22">
      <w:pPr>
        <w:rPr>
          <w:rFonts w:ascii="Arial" w:hAnsi="Arial" w:cs="Arial"/>
        </w:rPr>
      </w:pPr>
    </w:p>
    <w:p w14:paraId="474E2727" w14:textId="6847C6E4" w:rsidR="001B4265" w:rsidRDefault="001B4265" w:rsidP="001B4265">
      <w:pPr>
        <w:rPr>
          <w:rFonts w:ascii="Arial" w:hAnsi="Arial" w:cs="Arial"/>
        </w:rPr>
      </w:pPr>
    </w:p>
    <w:tbl>
      <w:tblPr>
        <w:tblStyle w:val="Tablaconcuadrcula"/>
        <w:tblW w:w="0" w:type="auto"/>
        <w:tblLayout w:type="fixed"/>
        <w:tblLook w:val="04A0" w:firstRow="1" w:lastRow="0" w:firstColumn="1" w:lastColumn="0" w:noHBand="0" w:noVBand="1"/>
      </w:tblPr>
      <w:tblGrid>
        <w:gridCol w:w="9485"/>
      </w:tblGrid>
      <w:tr w:rsidR="12C4E2E6" w14:paraId="4B8487CB" w14:textId="77777777" w:rsidTr="5176D4DE">
        <w:trPr>
          <w:trHeight w:val="300"/>
        </w:trPr>
        <w:tc>
          <w:tcPr>
            <w:tcW w:w="9485" w:type="dxa"/>
            <w:tcBorders>
              <w:top w:val="single" w:sz="8" w:space="0" w:color="auto"/>
              <w:left w:val="single" w:sz="8" w:space="0" w:color="auto"/>
              <w:bottom w:val="single" w:sz="8" w:space="0" w:color="auto"/>
              <w:right w:val="single" w:sz="8" w:space="0" w:color="auto"/>
            </w:tcBorders>
            <w:tcMar>
              <w:left w:w="108" w:type="dxa"/>
              <w:right w:w="108" w:type="dxa"/>
            </w:tcMar>
          </w:tcPr>
          <w:p w14:paraId="68E3D651" w14:textId="430121D4" w:rsidR="5176D4DE" w:rsidRDefault="7E992D33" w:rsidP="5176D4DE">
            <w:pPr>
              <w:rPr>
                <w:rFonts w:ascii="Arial" w:eastAsia="Arial" w:hAnsi="Arial" w:cs="Arial"/>
              </w:rPr>
            </w:pPr>
            <w:r w:rsidRPr="5176D4DE">
              <w:rPr>
                <w:rFonts w:ascii="Arial" w:eastAsia="Arial" w:hAnsi="Arial" w:cs="Arial"/>
              </w:rPr>
              <w:t xml:space="preserve">El Programa Infraestructura para el Buen Vivir (PIBV) es un instrumento de inversión </w:t>
            </w:r>
            <w:r w:rsidRPr="5176D4DE">
              <w:rPr>
                <w:rFonts w:ascii="Arial" w:eastAsia="Arial" w:hAnsi="Arial" w:cs="Arial"/>
                <w:b/>
                <w:bCs/>
              </w:rPr>
              <w:t>focalizado</w:t>
            </w:r>
            <w:r w:rsidRPr="5176D4DE">
              <w:rPr>
                <w:rFonts w:ascii="Arial" w:eastAsia="Arial" w:hAnsi="Arial" w:cs="Arial"/>
              </w:rPr>
              <w:t xml:space="preserve">, orientado a reducir las brechas de acceso y calidad de infraestructura en territorios rurales e indígenas de las regiones del Biobío, La Araucanía, Los Ríos y Los Lagos. Las Leyes de Presupuesto a partir de 2023 establecieron para la </w:t>
            </w:r>
            <w:r w:rsidR="26ED06D3" w:rsidRPr="5176D4DE">
              <w:rPr>
                <w:rFonts w:ascii="Arial" w:eastAsia="Arial" w:hAnsi="Arial" w:cs="Arial"/>
              </w:rPr>
              <w:t>Dirección General de Obras Públicas (</w:t>
            </w:r>
            <w:r w:rsidRPr="5176D4DE">
              <w:rPr>
                <w:rFonts w:ascii="Arial" w:eastAsia="Arial" w:hAnsi="Arial" w:cs="Arial"/>
              </w:rPr>
              <w:t>DGOP</w:t>
            </w:r>
            <w:r w:rsidR="5B394B32" w:rsidRPr="5176D4DE">
              <w:rPr>
                <w:rFonts w:ascii="Arial" w:eastAsia="Arial" w:hAnsi="Arial" w:cs="Arial"/>
              </w:rPr>
              <w:t>)</w:t>
            </w:r>
            <w:r w:rsidRPr="5176D4DE">
              <w:rPr>
                <w:rFonts w:ascii="Arial" w:eastAsia="Arial" w:hAnsi="Arial" w:cs="Arial"/>
              </w:rPr>
              <w:t xml:space="preserve">, en la Partida 12 Capítulo 02 Programa 14, el programa “Infraestructura para el Buen Vivir”, cuyo objeto es desarrollar inversión pública destinada a mejorar la calidad de vida de las comunidades indígenas y rurales de las Provincias de Arauco, Malleco, Cautín y Biobío y, a partir de 2024, de las regiones de Los Ríos y Los Lagos, con ejecución </w:t>
            </w:r>
            <w:r w:rsidR="4848549B" w:rsidRPr="5176D4DE">
              <w:rPr>
                <w:rFonts w:ascii="Arial" w:eastAsia="Arial" w:hAnsi="Arial" w:cs="Arial"/>
              </w:rPr>
              <w:t>de una cartera de proyectos coordinada con el Plan Buen Vivir del M</w:t>
            </w:r>
            <w:r w:rsidR="70DBC8E7" w:rsidRPr="5176D4DE">
              <w:rPr>
                <w:rFonts w:ascii="Arial" w:eastAsia="Arial" w:hAnsi="Arial" w:cs="Arial"/>
              </w:rPr>
              <w:t>inisterio</w:t>
            </w:r>
            <w:r w:rsidR="4A11C6FE" w:rsidRPr="5176D4DE">
              <w:rPr>
                <w:rFonts w:ascii="Arial" w:eastAsia="Arial" w:hAnsi="Arial" w:cs="Arial"/>
              </w:rPr>
              <w:t xml:space="preserve"> </w:t>
            </w:r>
            <w:r w:rsidR="4848549B" w:rsidRPr="5176D4DE">
              <w:rPr>
                <w:rFonts w:ascii="Arial" w:eastAsia="Arial" w:hAnsi="Arial" w:cs="Arial"/>
              </w:rPr>
              <w:t xml:space="preserve">del Interior </w:t>
            </w:r>
            <w:r w:rsidRPr="5176D4DE">
              <w:rPr>
                <w:rFonts w:ascii="Arial" w:eastAsia="Arial" w:hAnsi="Arial" w:cs="Arial"/>
              </w:rPr>
              <w:t xml:space="preserve">a través de los servicios ejecutores del </w:t>
            </w:r>
            <w:r w:rsidR="3B3BACA1" w:rsidRPr="5176D4DE">
              <w:rPr>
                <w:rFonts w:ascii="Arial" w:eastAsia="Arial" w:hAnsi="Arial" w:cs="Arial"/>
              </w:rPr>
              <w:t>Ministerio de Obras Públicas (</w:t>
            </w:r>
            <w:r w:rsidRPr="5176D4DE">
              <w:rPr>
                <w:rFonts w:ascii="Arial" w:eastAsia="Arial" w:hAnsi="Arial" w:cs="Arial"/>
              </w:rPr>
              <w:t>MOP</w:t>
            </w:r>
            <w:r w:rsidR="697B7ADE" w:rsidRPr="5176D4DE">
              <w:rPr>
                <w:rFonts w:ascii="Arial" w:eastAsia="Arial" w:hAnsi="Arial" w:cs="Arial"/>
              </w:rPr>
              <w:t>)</w:t>
            </w:r>
            <w:r w:rsidRPr="5176D4DE">
              <w:rPr>
                <w:rFonts w:ascii="Arial" w:eastAsia="Arial" w:hAnsi="Arial" w:cs="Arial"/>
              </w:rPr>
              <w:t>.</w:t>
            </w:r>
          </w:p>
          <w:p w14:paraId="06496974" w14:textId="77777777" w:rsidR="00BD46CE" w:rsidRDefault="00BD46CE" w:rsidP="5176D4DE">
            <w:pPr>
              <w:rPr>
                <w:rFonts w:ascii="Arial" w:eastAsia="Arial" w:hAnsi="Arial" w:cs="Arial"/>
              </w:rPr>
            </w:pPr>
          </w:p>
          <w:p w14:paraId="449F5960" w14:textId="09392FAC" w:rsidR="12C4E2E6" w:rsidRDefault="7A366F55" w:rsidP="5176D4DE">
            <w:pPr>
              <w:rPr>
                <w:rFonts w:ascii="Arial" w:eastAsia="Arial" w:hAnsi="Arial" w:cs="Arial"/>
              </w:rPr>
            </w:pPr>
            <w:r w:rsidRPr="5176D4DE">
              <w:rPr>
                <w:rFonts w:ascii="Arial" w:eastAsia="Arial" w:hAnsi="Arial" w:cs="Arial"/>
              </w:rPr>
              <w:t>La relevancia del P</w:t>
            </w:r>
            <w:r w:rsidR="61074F4C" w:rsidRPr="5176D4DE">
              <w:rPr>
                <w:rFonts w:ascii="Arial" w:eastAsia="Arial" w:hAnsi="Arial" w:cs="Arial"/>
              </w:rPr>
              <w:t>rograma</w:t>
            </w:r>
            <w:r w:rsidRPr="5176D4DE">
              <w:rPr>
                <w:rFonts w:ascii="Arial" w:eastAsia="Arial" w:hAnsi="Arial" w:cs="Arial"/>
              </w:rPr>
              <w:t xml:space="preserve"> radica en su enfoque territorial y de equidad, orientado a </w:t>
            </w:r>
            <w:r w:rsidR="671962AE" w:rsidRPr="5176D4DE">
              <w:rPr>
                <w:rFonts w:ascii="Arial" w:eastAsia="Arial" w:hAnsi="Arial" w:cs="Arial"/>
              </w:rPr>
              <w:t xml:space="preserve">reforzar la presencia del Estado </w:t>
            </w:r>
            <w:r w:rsidRPr="5176D4DE">
              <w:rPr>
                <w:rFonts w:ascii="Arial" w:eastAsia="Arial" w:hAnsi="Arial" w:cs="Arial"/>
              </w:rPr>
              <w:t>en zonas rurales y con presencia de comunidades indígenas</w:t>
            </w:r>
            <w:r w:rsidR="17C2C279" w:rsidRPr="5176D4DE">
              <w:rPr>
                <w:rFonts w:ascii="Arial" w:eastAsia="Arial" w:hAnsi="Arial" w:cs="Arial"/>
              </w:rPr>
              <w:t xml:space="preserve"> para abordar brechas históricas de infraestructura</w:t>
            </w:r>
            <w:r w:rsidRPr="5176D4DE">
              <w:rPr>
                <w:rFonts w:ascii="Arial" w:eastAsia="Arial" w:hAnsi="Arial" w:cs="Arial"/>
              </w:rPr>
              <w:t>. E</w:t>
            </w:r>
            <w:r w:rsidR="12C316EF" w:rsidRPr="5176D4DE">
              <w:rPr>
                <w:rFonts w:ascii="Arial" w:eastAsia="Arial" w:hAnsi="Arial" w:cs="Arial"/>
              </w:rPr>
              <w:t xml:space="preserve">stas </w:t>
            </w:r>
            <w:r w:rsidR="67BDA291" w:rsidRPr="5176D4DE">
              <w:rPr>
                <w:rFonts w:ascii="Arial" w:eastAsia="Arial" w:hAnsi="Arial" w:cs="Arial"/>
              </w:rPr>
              <w:t xml:space="preserve">zonas presentan alta complejidad </w:t>
            </w:r>
            <w:r w:rsidR="43F4F4CE" w:rsidRPr="5176D4DE">
              <w:rPr>
                <w:rFonts w:ascii="Arial" w:eastAsia="Arial" w:hAnsi="Arial" w:cs="Arial"/>
              </w:rPr>
              <w:t>socio</w:t>
            </w:r>
            <w:r w:rsidR="236203E3" w:rsidRPr="5176D4DE">
              <w:rPr>
                <w:rFonts w:ascii="Arial" w:eastAsia="Arial" w:hAnsi="Arial" w:cs="Arial"/>
              </w:rPr>
              <w:t xml:space="preserve"> </w:t>
            </w:r>
            <w:r w:rsidRPr="5176D4DE">
              <w:rPr>
                <w:rFonts w:ascii="Arial" w:eastAsia="Arial" w:hAnsi="Arial" w:cs="Arial"/>
              </w:rPr>
              <w:t>territori</w:t>
            </w:r>
            <w:r w:rsidR="5BE102AD" w:rsidRPr="5176D4DE">
              <w:rPr>
                <w:rFonts w:ascii="Arial" w:eastAsia="Arial" w:hAnsi="Arial" w:cs="Arial"/>
              </w:rPr>
              <w:t xml:space="preserve">al, </w:t>
            </w:r>
            <w:r w:rsidR="0AD4A196" w:rsidRPr="5176D4DE">
              <w:rPr>
                <w:rFonts w:ascii="Arial" w:eastAsia="Arial" w:hAnsi="Arial" w:cs="Arial"/>
              </w:rPr>
              <w:t>que ha derivado en</w:t>
            </w:r>
            <w:r w:rsidR="7BF506CC" w:rsidRPr="5176D4DE">
              <w:rPr>
                <w:rFonts w:ascii="Arial" w:eastAsia="Arial" w:hAnsi="Arial" w:cs="Arial"/>
              </w:rPr>
              <w:t xml:space="preserve"> </w:t>
            </w:r>
            <w:r w:rsidRPr="5176D4DE">
              <w:rPr>
                <w:rFonts w:ascii="Arial" w:eastAsia="Arial" w:hAnsi="Arial" w:cs="Arial"/>
              </w:rPr>
              <w:t xml:space="preserve">rezagos estructurales en </w:t>
            </w:r>
            <w:r w:rsidR="40E1AF31" w:rsidRPr="5176D4DE">
              <w:rPr>
                <w:rFonts w:ascii="Arial" w:eastAsia="Arial" w:hAnsi="Arial" w:cs="Arial"/>
              </w:rPr>
              <w:t xml:space="preserve">el </w:t>
            </w:r>
            <w:r w:rsidRPr="5176D4DE">
              <w:rPr>
                <w:rFonts w:ascii="Arial" w:eastAsia="Arial" w:hAnsi="Arial" w:cs="Arial"/>
              </w:rPr>
              <w:t>acceso a servicios básicos, oportunidades productivas y conectividad, lo que ha profundizado las desigualdades sociales y económicas. El P</w:t>
            </w:r>
            <w:r w:rsidR="6450FFAF" w:rsidRPr="5176D4DE">
              <w:rPr>
                <w:rFonts w:ascii="Arial" w:eastAsia="Arial" w:hAnsi="Arial" w:cs="Arial"/>
              </w:rPr>
              <w:t>rograma</w:t>
            </w:r>
            <w:r w:rsidRPr="5176D4DE">
              <w:rPr>
                <w:rFonts w:ascii="Arial" w:eastAsia="Arial" w:hAnsi="Arial" w:cs="Arial"/>
              </w:rPr>
              <w:t xml:space="preserve"> busca revertir estas condiciones, articulando la inversión pública </w:t>
            </w:r>
            <w:r w:rsidR="375545DB" w:rsidRPr="5176D4DE">
              <w:rPr>
                <w:rFonts w:ascii="Arial" w:eastAsia="Arial" w:hAnsi="Arial" w:cs="Arial"/>
              </w:rPr>
              <w:t xml:space="preserve">MOP </w:t>
            </w:r>
            <w:r w:rsidRPr="5176D4DE">
              <w:rPr>
                <w:rFonts w:ascii="Arial" w:eastAsia="Arial" w:hAnsi="Arial" w:cs="Arial"/>
              </w:rPr>
              <w:t>con pertinencia cultural, sostenibilidad ambiental y coordinación interinstitucional, en consonancia con los compromisos internacionales de Chile en materia de derechos humanos y pueblos indígenas.</w:t>
            </w:r>
          </w:p>
          <w:p w14:paraId="0BB944EA" w14:textId="77777777" w:rsidR="00F72437" w:rsidRDefault="00F72437" w:rsidP="5176D4DE">
            <w:pPr>
              <w:rPr>
                <w:rFonts w:ascii="Arial" w:eastAsia="Arial" w:hAnsi="Arial" w:cs="Arial"/>
              </w:rPr>
            </w:pPr>
          </w:p>
          <w:p w14:paraId="4FFFCEE5" w14:textId="33E3575A" w:rsidR="12C4E2E6" w:rsidRDefault="53C87320" w:rsidP="5176D4DE">
            <w:pPr>
              <w:rPr>
                <w:rFonts w:ascii="Arial" w:eastAsia="Arial" w:hAnsi="Arial" w:cs="Arial"/>
              </w:rPr>
            </w:pPr>
            <w:r w:rsidRPr="5176D4DE">
              <w:rPr>
                <w:rFonts w:ascii="Arial" w:eastAsia="Arial" w:hAnsi="Arial" w:cs="Arial"/>
              </w:rPr>
              <w:t xml:space="preserve">Desde la visión del Gobierno, el </w:t>
            </w:r>
            <w:r w:rsidR="78918D2E" w:rsidRPr="5176D4DE">
              <w:rPr>
                <w:rFonts w:ascii="Arial" w:eastAsia="Arial" w:hAnsi="Arial" w:cs="Arial"/>
              </w:rPr>
              <w:t>PIBV</w:t>
            </w:r>
            <w:r w:rsidR="2F747B38" w:rsidRPr="5176D4DE">
              <w:rPr>
                <w:rFonts w:ascii="Arial" w:eastAsia="Arial" w:hAnsi="Arial" w:cs="Arial"/>
              </w:rPr>
              <w:t xml:space="preserve"> </w:t>
            </w:r>
            <w:r w:rsidRPr="5176D4DE">
              <w:rPr>
                <w:rFonts w:ascii="Arial" w:eastAsia="Arial" w:hAnsi="Arial" w:cs="Arial"/>
              </w:rPr>
              <w:t xml:space="preserve">se alinea con </w:t>
            </w:r>
            <w:r w:rsidR="6E8715FB" w:rsidRPr="5176D4DE">
              <w:rPr>
                <w:rFonts w:ascii="Arial" w:eastAsia="Arial" w:hAnsi="Arial" w:cs="Arial"/>
              </w:rPr>
              <w:t xml:space="preserve">la estrategia seguida desde el Plan Buen Vivir, </w:t>
            </w:r>
            <w:r w:rsidR="00F72437">
              <w:rPr>
                <w:rFonts w:ascii="Arial" w:eastAsia="Arial" w:hAnsi="Arial" w:cs="Arial"/>
              </w:rPr>
              <w:t>estructurada en dos vías: l</w:t>
            </w:r>
            <w:r w:rsidR="00F72437" w:rsidRPr="00F72437">
              <w:rPr>
                <w:rFonts w:ascii="Arial" w:eastAsia="Arial" w:hAnsi="Arial" w:cs="Arial"/>
              </w:rPr>
              <w:t xml:space="preserve">a primera, dirigida a la generación de espacios de diálogo con pertinencia intercultural entre representantes del Estado de Chile -bajo la figura de gestores territoriales - y las comunidades indígenas. La segunda, y con el propósito de abordar los altos niveles de rezago presentes en Biobío, La Araucanía, Los Ríos y Los Lagos, </w:t>
            </w:r>
            <w:r w:rsidR="00F72437">
              <w:rPr>
                <w:rFonts w:ascii="Arial" w:eastAsia="Arial" w:hAnsi="Arial" w:cs="Arial"/>
              </w:rPr>
              <w:t xml:space="preserve">mediante </w:t>
            </w:r>
            <w:r w:rsidR="00F72437" w:rsidRPr="00F72437">
              <w:rPr>
                <w:rFonts w:ascii="Arial" w:eastAsia="Arial" w:hAnsi="Arial" w:cs="Arial"/>
              </w:rPr>
              <w:t xml:space="preserve">un plan de inversión dirigido a subsanar las brechas en materia de acceso a servicios básicos e infraestructura pública, particularmente en las zonas rurales de estas regiones. </w:t>
            </w:r>
          </w:p>
          <w:p w14:paraId="62E4C7B6" w14:textId="77777777" w:rsidR="00F72437" w:rsidRDefault="00F72437" w:rsidP="5176D4DE">
            <w:pPr>
              <w:rPr>
                <w:rFonts w:ascii="Arial" w:eastAsia="Arial" w:hAnsi="Arial" w:cs="Arial"/>
              </w:rPr>
            </w:pPr>
          </w:p>
          <w:p w14:paraId="22443618" w14:textId="0AB6BD99" w:rsidR="12C4E2E6" w:rsidRDefault="5A844177" w:rsidP="5176D4DE">
            <w:pPr>
              <w:rPr>
                <w:rFonts w:ascii="Arial" w:eastAsia="Arial" w:hAnsi="Arial" w:cs="Arial"/>
              </w:rPr>
            </w:pPr>
            <w:r w:rsidRPr="5176D4DE">
              <w:rPr>
                <w:rFonts w:ascii="Arial" w:eastAsia="Arial" w:hAnsi="Arial" w:cs="Arial"/>
              </w:rPr>
              <w:t xml:space="preserve">Asimismo, la política refleja el principio de descentralización con equidad territorial, impulsado por la actual administración, </w:t>
            </w:r>
            <w:r w:rsidR="4FFBB91E" w:rsidRPr="5176D4DE">
              <w:rPr>
                <w:rFonts w:ascii="Arial" w:eastAsia="Arial" w:hAnsi="Arial" w:cs="Arial"/>
              </w:rPr>
              <w:t xml:space="preserve">por una parte, </w:t>
            </w:r>
            <w:r w:rsidRPr="5176D4DE">
              <w:rPr>
                <w:rFonts w:ascii="Arial" w:eastAsia="Arial" w:hAnsi="Arial" w:cs="Arial"/>
              </w:rPr>
              <w:t>al priorizar inversiones en zonas rurales y aisladas que históricamente han estado fuera de los circuitos regulares de inversión pública</w:t>
            </w:r>
            <w:r w:rsidR="22AEB810" w:rsidRPr="5176D4DE">
              <w:rPr>
                <w:rFonts w:ascii="Arial" w:eastAsia="Arial" w:hAnsi="Arial" w:cs="Arial"/>
              </w:rPr>
              <w:t>, y por otra,</w:t>
            </w:r>
            <w:r w:rsidR="07AE6F88" w:rsidRPr="5176D4DE">
              <w:rPr>
                <w:rFonts w:ascii="Arial" w:eastAsia="Arial" w:hAnsi="Arial" w:cs="Arial"/>
              </w:rPr>
              <w:t xml:space="preserve"> </w:t>
            </w:r>
            <w:r w:rsidR="22AEB810" w:rsidRPr="5176D4DE">
              <w:rPr>
                <w:rFonts w:ascii="Arial" w:eastAsia="Arial" w:hAnsi="Arial" w:cs="Arial"/>
              </w:rPr>
              <w:t xml:space="preserve">mitigar </w:t>
            </w:r>
            <w:r w:rsidR="396F7F18" w:rsidRPr="5176D4DE">
              <w:rPr>
                <w:rFonts w:ascii="Arial" w:eastAsia="Arial" w:hAnsi="Arial" w:cs="Arial"/>
              </w:rPr>
              <w:t xml:space="preserve">los riesgos para las operaciones al establecer de manera temprana y permanente </w:t>
            </w:r>
            <w:r w:rsidR="36C0E656" w:rsidRPr="5176D4DE">
              <w:rPr>
                <w:rFonts w:ascii="Arial" w:eastAsia="Arial" w:hAnsi="Arial" w:cs="Arial"/>
              </w:rPr>
              <w:t xml:space="preserve">el </w:t>
            </w:r>
            <w:r w:rsidR="396F7F18" w:rsidRPr="5176D4DE">
              <w:rPr>
                <w:rFonts w:ascii="Arial" w:eastAsia="Arial" w:hAnsi="Arial" w:cs="Arial"/>
              </w:rPr>
              <w:t xml:space="preserve">relacionamiento con las comunidades </w:t>
            </w:r>
            <w:r w:rsidR="258934E7" w:rsidRPr="5176D4DE">
              <w:rPr>
                <w:rFonts w:ascii="Arial" w:eastAsia="Arial" w:hAnsi="Arial" w:cs="Arial"/>
              </w:rPr>
              <w:t>beneficiarias y aledañas a la</w:t>
            </w:r>
            <w:r w:rsidR="261213B5" w:rsidRPr="5176D4DE">
              <w:rPr>
                <w:rFonts w:ascii="Arial" w:eastAsia="Arial" w:hAnsi="Arial" w:cs="Arial"/>
              </w:rPr>
              <w:t>s</w:t>
            </w:r>
            <w:r w:rsidR="258934E7" w:rsidRPr="5176D4DE">
              <w:rPr>
                <w:rFonts w:ascii="Arial" w:eastAsia="Arial" w:hAnsi="Arial" w:cs="Arial"/>
              </w:rPr>
              <w:t xml:space="preserve"> obras</w:t>
            </w:r>
            <w:r w:rsidRPr="5176D4DE">
              <w:rPr>
                <w:rFonts w:ascii="Arial" w:eastAsia="Arial" w:hAnsi="Arial" w:cs="Arial"/>
              </w:rPr>
              <w:t xml:space="preserve">. </w:t>
            </w:r>
            <w:r w:rsidR="00F72437">
              <w:rPr>
                <w:rFonts w:ascii="Arial" w:eastAsia="Arial" w:hAnsi="Arial" w:cs="Arial"/>
              </w:rPr>
              <w:t xml:space="preserve">En particular, </w:t>
            </w:r>
            <w:r w:rsidR="00C30311">
              <w:rPr>
                <w:rFonts w:ascii="Arial" w:eastAsia="Arial" w:hAnsi="Arial" w:cs="Arial"/>
              </w:rPr>
              <w:t>respecto de las comunidades indígenas atendidas, e</w:t>
            </w:r>
            <w:r w:rsidR="00C30311" w:rsidRPr="00C30311">
              <w:rPr>
                <w:rFonts w:ascii="Arial" w:eastAsia="Arial" w:hAnsi="Arial" w:cs="Arial"/>
              </w:rPr>
              <w:t>sta estrategia se basa en los tratados internacionales aprobados por el Estado de Chile, como la Declaración de las Naciones Unid</w:t>
            </w:r>
            <w:r w:rsidR="00E55E56">
              <w:rPr>
                <w:rFonts w:ascii="Arial" w:eastAsia="Arial" w:hAnsi="Arial" w:cs="Arial"/>
              </w:rPr>
              <w:t>as sobre los derechos indígenas</w:t>
            </w:r>
            <w:r w:rsidR="00C30311" w:rsidRPr="00C30311">
              <w:rPr>
                <w:rFonts w:ascii="Arial" w:eastAsia="Arial" w:hAnsi="Arial" w:cs="Arial"/>
              </w:rPr>
              <w:t>, y el Convenio N°169 Sobre pueblos indígenas y tribales en países independientes de la Organización Internacional del Trabajo</w:t>
            </w:r>
            <w:r w:rsidR="00C30311">
              <w:rPr>
                <w:rFonts w:ascii="Arial" w:eastAsia="Arial" w:hAnsi="Arial" w:cs="Arial"/>
              </w:rPr>
              <w:t xml:space="preserve">. </w:t>
            </w:r>
            <w:r w:rsidRPr="5176D4DE">
              <w:rPr>
                <w:rFonts w:ascii="Arial" w:eastAsia="Arial" w:hAnsi="Arial" w:cs="Arial"/>
              </w:rPr>
              <w:t>Su implementación, a través del Programa de Infraestructura para el Buen Vivir (PIBV)</w:t>
            </w:r>
            <w:r w:rsidR="608CA1E0" w:rsidRPr="5176D4DE">
              <w:rPr>
                <w:rFonts w:ascii="Arial" w:eastAsia="Arial" w:hAnsi="Arial" w:cs="Arial"/>
              </w:rPr>
              <w:t xml:space="preserve">, de manera </w:t>
            </w:r>
            <w:r w:rsidRPr="5176D4DE">
              <w:rPr>
                <w:rFonts w:ascii="Arial" w:eastAsia="Arial" w:hAnsi="Arial" w:cs="Arial"/>
              </w:rPr>
              <w:t>coordina</w:t>
            </w:r>
            <w:r w:rsidR="225582AE" w:rsidRPr="5176D4DE">
              <w:rPr>
                <w:rFonts w:ascii="Arial" w:eastAsia="Arial" w:hAnsi="Arial" w:cs="Arial"/>
              </w:rPr>
              <w:t>da</w:t>
            </w:r>
            <w:r w:rsidRPr="5176D4DE">
              <w:rPr>
                <w:rFonts w:ascii="Arial" w:eastAsia="Arial" w:hAnsi="Arial" w:cs="Arial"/>
              </w:rPr>
              <w:t xml:space="preserve"> </w:t>
            </w:r>
            <w:r w:rsidR="00F72437">
              <w:rPr>
                <w:rFonts w:ascii="Arial" w:eastAsia="Arial" w:hAnsi="Arial" w:cs="Arial"/>
              </w:rPr>
              <w:t xml:space="preserve">entre </w:t>
            </w:r>
            <w:r w:rsidRPr="5176D4DE">
              <w:rPr>
                <w:rFonts w:ascii="Arial" w:eastAsia="Arial" w:hAnsi="Arial" w:cs="Arial"/>
              </w:rPr>
              <w:t xml:space="preserve">el MOP, </w:t>
            </w:r>
            <w:r w:rsidR="7C449365" w:rsidRPr="5176D4DE">
              <w:rPr>
                <w:rFonts w:ascii="Arial" w:eastAsia="Arial" w:hAnsi="Arial" w:cs="Arial"/>
              </w:rPr>
              <w:t>M</w:t>
            </w:r>
            <w:r w:rsidR="53EDF6E0" w:rsidRPr="5176D4DE">
              <w:rPr>
                <w:rFonts w:ascii="Arial" w:eastAsia="Arial" w:hAnsi="Arial" w:cs="Arial"/>
              </w:rPr>
              <w:t>inisterio del Interior</w:t>
            </w:r>
            <w:r w:rsidR="19760123" w:rsidRPr="5176D4DE">
              <w:rPr>
                <w:rFonts w:ascii="Arial" w:eastAsia="Arial" w:hAnsi="Arial" w:cs="Arial"/>
              </w:rPr>
              <w:t xml:space="preserve"> </w:t>
            </w:r>
            <w:r w:rsidRPr="5176D4DE">
              <w:rPr>
                <w:rFonts w:ascii="Arial" w:eastAsia="Arial" w:hAnsi="Arial" w:cs="Arial"/>
              </w:rPr>
              <w:t>y el Consejo Interministerial para el Buen Vivir, consolida un modelo de gestión que combina planificación técnica, diálogo intercultural y rendición de cuentas, contribuyendo a un legado institucional orientado al desarrollo sostenible y la cohesión social del sur de Chile.</w:t>
            </w:r>
          </w:p>
          <w:p w14:paraId="1C9C9006" w14:textId="175A0A0D" w:rsidR="12C4E2E6" w:rsidRDefault="12C4E2E6" w:rsidP="12C4E2E6">
            <w:pPr>
              <w:rPr>
                <w:rFonts w:ascii="Arial" w:eastAsia="Arial" w:hAnsi="Arial" w:cs="Arial"/>
                <w:sz w:val="24"/>
                <w:szCs w:val="24"/>
              </w:rPr>
            </w:pPr>
          </w:p>
        </w:tc>
      </w:tr>
    </w:tbl>
    <w:p w14:paraId="5C0F6DD6" w14:textId="60539057" w:rsidR="12C4E2E6" w:rsidRDefault="12C4E2E6" w:rsidP="12C4E2E6">
      <w:pPr>
        <w:rPr>
          <w:rFonts w:ascii="Arial" w:hAnsi="Arial" w:cs="Arial"/>
        </w:rPr>
      </w:pPr>
    </w:p>
    <w:p w14:paraId="08DA7DF6" w14:textId="77777777" w:rsidR="00AC1CD4" w:rsidRPr="00AC1CD4" w:rsidRDefault="00AC1CD4" w:rsidP="001B4265">
      <w:pPr>
        <w:rPr>
          <w:rFonts w:ascii="Arial" w:hAnsi="Arial" w:cs="Arial"/>
        </w:rPr>
      </w:pPr>
    </w:p>
    <w:p w14:paraId="210BB7A0" w14:textId="0D393D24" w:rsidR="008F17DD" w:rsidRPr="007A6156" w:rsidRDefault="00A52E22" w:rsidP="009A1D5B">
      <w:pPr>
        <w:pStyle w:val="Ttulo1"/>
        <w:ind w:left="426" w:hanging="426"/>
        <w:rPr>
          <w:rFonts w:ascii="Arial" w:hAnsi="Arial" w:cs="Arial"/>
          <w:color w:val="002060"/>
        </w:rPr>
      </w:pPr>
      <w:bookmarkStart w:id="1" w:name="_Toc213772445"/>
      <w:r w:rsidRPr="4742C33E">
        <w:rPr>
          <w:rFonts w:ascii="Arial" w:hAnsi="Arial" w:cs="Arial"/>
          <w:color w:val="002060"/>
        </w:rPr>
        <w:lastRenderedPageBreak/>
        <w:t>Diagnóstico - ¿Qué recibimos en 2022?</w:t>
      </w:r>
      <w:bookmarkEnd w:id="1"/>
    </w:p>
    <w:p w14:paraId="10B56EAB" w14:textId="468FEF75" w:rsidR="4742C33E" w:rsidRDefault="4742C33E" w:rsidP="4742C33E"/>
    <w:p w14:paraId="379F6743" w14:textId="471C466D" w:rsidR="14C006BA" w:rsidRDefault="14C006BA" w:rsidP="4742C33E"/>
    <w:tbl>
      <w:tblPr>
        <w:tblStyle w:val="Tablaconcuadrcula"/>
        <w:tblW w:w="0" w:type="auto"/>
        <w:tblLayout w:type="fixed"/>
        <w:tblLook w:val="04A0" w:firstRow="1" w:lastRow="0" w:firstColumn="1" w:lastColumn="0" w:noHBand="0" w:noVBand="1"/>
      </w:tblPr>
      <w:tblGrid>
        <w:gridCol w:w="9485"/>
      </w:tblGrid>
      <w:tr w:rsidR="12C4E2E6" w14:paraId="4D839D89" w14:textId="77777777" w:rsidTr="5176D4DE">
        <w:trPr>
          <w:trHeight w:val="300"/>
        </w:trPr>
        <w:tc>
          <w:tcPr>
            <w:tcW w:w="9485" w:type="dxa"/>
            <w:tcBorders>
              <w:top w:val="single" w:sz="8" w:space="0" w:color="auto"/>
              <w:left w:val="single" w:sz="8" w:space="0" w:color="auto"/>
              <w:bottom w:val="single" w:sz="8" w:space="0" w:color="auto"/>
              <w:right w:val="single" w:sz="8" w:space="0" w:color="auto"/>
            </w:tcBorders>
            <w:tcMar>
              <w:left w:w="108" w:type="dxa"/>
              <w:right w:w="108" w:type="dxa"/>
            </w:tcMar>
          </w:tcPr>
          <w:p w14:paraId="29D38D65" w14:textId="71D5CD3C" w:rsidR="009E1FA3" w:rsidRPr="009E1FA3" w:rsidRDefault="6056BD91" w:rsidP="00BD46CE">
            <w:pPr>
              <w:spacing w:before="240" w:after="240"/>
            </w:pPr>
            <w:r w:rsidRPr="5176D4DE">
              <w:rPr>
                <w:rFonts w:ascii="Arial" w:eastAsia="Arial" w:hAnsi="Arial" w:cs="Arial"/>
                <w:color w:val="000000" w:themeColor="text1"/>
              </w:rPr>
              <w:t>Al inicio del período de Gobierno, las regiones del Biobío, La Araucanía, Los Ríos y Los Lagos presentaban altos niveles de desigualdad territorial y rezagos en infraestructura básica. En conjunto, concentraban 784 mil habitantes rurales (21% del total nacional) y cerca del 37% de las comunidades indígenas del país, que agrupaban 294 mil personas, 96,6% perteneciente al pueblo mapuche. Según el Índice de Desarrollo Humano, estas regiones se ubicaban entre niveles bajos y medio-bajos, con brechas persistentes en educación, ingresos y acceso a servicios. En comunas como Alto Biobío, Ercilla o San Juan de la Costa, la ruralidad dispersa y la limitada diversificación económica acentuaban el aislamiento y la falta de oportunidades.</w:t>
            </w:r>
          </w:p>
          <w:p w14:paraId="33E4165C" w14:textId="45AC83CF" w:rsidR="009E1FA3" w:rsidRPr="009E1FA3" w:rsidRDefault="009E1FA3" w:rsidP="009E1FA3">
            <w:pPr>
              <w:keepNext/>
              <w:spacing w:after="200" w:line="276" w:lineRule="auto"/>
              <w:jc w:val="center"/>
              <w:rPr>
                <w:rFonts w:asciiTheme="majorHAnsi" w:hAnsiTheme="majorHAnsi" w:cstheme="majorHAnsi"/>
                <w:b/>
                <w:bCs/>
                <w:i/>
                <w:iCs/>
                <w:kern w:val="2"/>
                <w:sz w:val="16"/>
                <w:szCs w:val="16"/>
                <w:lang w:val="es-ES"/>
                <w14:ligatures w14:val="standardContextual"/>
              </w:rPr>
            </w:pPr>
            <w:bookmarkStart w:id="2" w:name="_Toc143020253"/>
            <w:r>
              <w:rPr>
                <w:rFonts w:asciiTheme="majorHAnsi" w:hAnsiTheme="majorHAnsi" w:cstheme="majorHAnsi"/>
                <w:b/>
                <w:bCs/>
                <w:i/>
                <w:iCs/>
                <w:kern w:val="2"/>
                <w:sz w:val="16"/>
                <w:szCs w:val="16"/>
                <w:lang w:val="es-ES"/>
                <w14:ligatures w14:val="standardContextual"/>
              </w:rPr>
              <w:t>Tabla</w:t>
            </w:r>
            <w:r w:rsidRPr="009E1FA3">
              <w:rPr>
                <w:rFonts w:asciiTheme="majorHAnsi" w:hAnsiTheme="majorHAnsi" w:cstheme="majorHAnsi"/>
                <w:b/>
                <w:bCs/>
                <w:i/>
                <w:iCs/>
                <w:kern w:val="2"/>
                <w:sz w:val="16"/>
                <w:szCs w:val="16"/>
                <w:lang w:val="es-ES"/>
                <w14:ligatures w14:val="standardContextual"/>
              </w:rPr>
              <w:t xml:space="preserve">: Pobreza multidimensional por hogares                                                                                                                                                                                    </w:t>
            </w:r>
            <w:bookmarkEnd w:id="2"/>
          </w:p>
          <w:tbl>
            <w:tblPr>
              <w:tblW w:w="9070" w:type="dxa"/>
              <w:tblLayout w:type="fixed"/>
              <w:tblCellMar>
                <w:left w:w="70" w:type="dxa"/>
                <w:right w:w="70" w:type="dxa"/>
              </w:tblCellMar>
              <w:tblLook w:val="04A0" w:firstRow="1" w:lastRow="0" w:firstColumn="1" w:lastColumn="0" w:noHBand="0" w:noVBand="1"/>
            </w:tblPr>
            <w:tblGrid>
              <w:gridCol w:w="1937"/>
              <w:gridCol w:w="1514"/>
              <w:gridCol w:w="1391"/>
              <w:gridCol w:w="845"/>
              <w:gridCol w:w="2196"/>
              <w:gridCol w:w="1187"/>
            </w:tblGrid>
            <w:tr w:rsidR="009E1FA3" w:rsidRPr="009E1FA3" w14:paraId="1AB4898E" w14:textId="77777777" w:rsidTr="009A1D5B">
              <w:trPr>
                <w:trHeight w:val="350"/>
              </w:trPr>
              <w:tc>
                <w:tcPr>
                  <w:tcW w:w="1937" w:type="dxa"/>
                  <w:vMerge w:val="restart"/>
                  <w:tcBorders>
                    <w:top w:val="single" w:sz="8" w:space="0" w:color="7F7F7F"/>
                    <w:left w:val="nil"/>
                    <w:bottom w:val="single" w:sz="8" w:space="0" w:color="7F7F7F"/>
                    <w:right w:val="nil"/>
                  </w:tcBorders>
                  <w:noWrap/>
                  <w:vAlign w:val="center"/>
                  <w:hideMark/>
                </w:tcPr>
                <w:p w14:paraId="503AA9E1"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Pobreza multidimensional</w:t>
                  </w:r>
                </w:p>
              </w:tc>
              <w:tc>
                <w:tcPr>
                  <w:tcW w:w="1514" w:type="dxa"/>
                  <w:tcBorders>
                    <w:top w:val="single" w:sz="8" w:space="0" w:color="7F7F7F"/>
                    <w:left w:val="nil"/>
                    <w:bottom w:val="single" w:sz="8" w:space="0" w:color="7F7F7F"/>
                    <w:right w:val="nil"/>
                  </w:tcBorders>
                  <w:noWrap/>
                  <w:vAlign w:val="center"/>
                  <w:hideMark/>
                </w:tcPr>
                <w:p w14:paraId="7593EA23" w14:textId="77777777" w:rsidR="009E1FA3" w:rsidRPr="009E1FA3" w:rsidRDefault="009E1FA3" w:rsidP="009E1FA3">
                  <w:pPr>
                    <w:spacing w:after="0" w:line="276" w:lineRule="auto"/>
                    <w:jc w:val="center"/>
                    <w:rPr>
                      <w:rFonts w:eastAsia="Times New Roman" w:cs="Calibri"/>
                      <w:b/>
                      <w:bCs/>
                      <w:color w:val="000000"/>
                      <w:sz w:val="18"/>
                      <w:szCs w:val="18"/>
                      <w:lang w:eastAsia="es-CL"/>
                    </w:rPr>
                  </w:pPr>
                  <w:r w:rsidRPr="009E1FA3">
                    <w:rPr>
                      <w:rFonts w:eastAsia="Times New Roman" w:cs="Calibri"/>
                      <w:b/>
                      <w:bCs/>
                      <w:color w:val="000000"/>
                      <w:sz w:val="18"/>
                      <w:szCs w:val="18"/>
                      <w:lang w:eastAsia="es-CL"/>
                    </w:rPr>
                    <w:t>Biobío</w:t>
                  </w:r>
                </w:p>
              </w:tc>
              <w:tc>
                <w:tcPr>
                  <w:tcW w:w="1391" w:type="dxa"/>
                  <w:tcBorders>
                    <w:top w:val="single" w:sz="8" w:space="0" w:color="7F7F7F"/>
                    <w:left w:val="nil"/>
                    <w:bottom w:val="single" w:sz="8" w:space="0" w:color="7F7F7F"/>
                    <w:right w:val="nil"/>
                  </w:tcBorders>
                  <w:noWrap/>
                  <w:vAlign w:val="center"/>
                  <w:hideMark/>
                </w:tcPr>
                <w:p w14:paraId="468A32E8" w14:textId="77777777" w:rsidR="009E1FA3" w:rsidRPr="009E1FA3" w:rsidRDefault="009E1FA3" w:rsidP="009E1FA3">
                  <w:pPr>
                    <w:spacing w:after="0" w:line="276" w:lineRule="auto"/>
                    <w:jc w:val="center"/>
                    <w:rPr>
                      <w:rFonts w:eastAsia="Times New Roman" w:cs="Calibri"/>
                      <w:b/>
                      <w:bCs/>
                      <w:color w:val="000000"/>
                      <w:sz w:val="18"/>
                      <w:szCs w:val="18"/>
                      <w:lang w:eastAsia="es-CL"/>
                    </w:rPr>
                  </w:pPr>
                  <w:r w:rsidRPr="009E1FA3">
                    <w:rPr>
                      <w:rFonts w:eastAsia="Times New Roman" w:cs="Calibri"/>
                      <w:b/>
                      <w:bCs/>
                      <w:color w:val="000000"/>
                      <w:sz w:val="18"/>
                      <w:szCs w:val="18"/>
                      <w:lang w:eastAsia="es-CL"/>
                    </w:rPr>
                    <w:t>La Araucanía</w:t>
                  </w:r>
                </w:p>
              </w:tc>
              <w:tc>
                <w:tcPr>
                  <w:tcW w:w="845" w:type="dxa"/>
                  <w:tcBorders>
                    <w:top w:val="single" w:sz="8" w:space="0" w:color="7F7F7F"/>
                    <w:left w:val="nil"/>
                    <w:bottom w:val="single" w:sz="8" w:space="0" w:color="7F7F7F"/>
                    <w:right w:val="nil"/>
                  </w:tcBorders>
                  <w:noWrap/>
                  <w:vAlign w:val="center"/>
                  <w:hideMark/>
                </w:tcPr>
                <w:p w14:paraId="3ECFC13A" w14:textId="77777777" w:rsidR="009E1FA3" w:rsidRPr="009E1FA3" w:rsidRDefault="009E1FA3" w:rsidP="009E1FA3">
                  <w:pPr>
                    <w:spacing w:after="0" w:line="276" w:lineRule="auto"/>
                    <w:jc w:val="center"/>
                    <w:rPr>
                      <w:rFonts w:eastAsia="Times New Roman" w:cs="Calibri"/>
                      <w:b/>
                      <w:bCs/>
                      <w:color w:val="000000"/>
                      <w:sz w:val="18"/>
                      <w:szCs w:val="18"/>
                      <w:lang w:eastAsia="es-CL"/>
                    </w:rPr>
                  </w:pPr>
                  <w:r w:rsidRPr="009E1FA3">
                    <w:rPr>
                      <w:rFonts w:eastAsia="Times New Roman" w:cs="Calibri"/>
                      <w:b/>
                      <w:bCs/>
                      <w:color w:val="000000"/>
                      <w:sz w:val="18"/>
                      <w:szCs w:val="18"/>
                      <w:lang w:eastAsia="es-CL"/>
                    </w:rPr>
                    <w:t>Los Ríos</w:t>
                  </w:r>
                </w:p>
              </w:tc>
              <w:tc>
                <w:tcPr>
                  <w:tcW w:w="2196" w:type="dxa"/>
                  <w:tcBorders>
                    <w:top w:val="single" w:sz="8" w:space="0" w:color="7F7F7F"/>
                    <w:left w:val="nil"/>
                    <w:bottom w:val="single" w:sz="8" w:space="0" w:color="7F7F7F"/>
                    <w:right w:val="nil"/>
                  </w:tcBorders>
                  <w:noWrap/>
                  <w:vAlign w:val="center"/>
                  <w:hideMark/>
                </w:tcPr>
                <w:p w14:paraId="4334AAD5" w14:textId="77777777" w:rsidR="009E1FA3" w:rsidRPr="009E1FA3" w:rsidRDefault="009E1FA3" w:rsidP="009E1FA3">
                  <w:pPr>
                    <w:spacing w:after="0" w:line="276" w:lineRule="auto"/>
                    <w:jc w:val="center"/>
                    <w:rPr>
                      <w:rFonts w:eastAsia="Times New Roman" w:cs="Calibri"/>
                      <w:b/>
                      <w:bCs/>
                      <w:color w:val="000000"/>
                      <w:sz w:val="18"/>
                      <w:szCs w:val="18"/>
                      <w:lang w:eastAsia="es-CL"/>
                    </w:rPr>
                  </w:pPr>
                  <w:r w:rsidRPr="009E1FA3">
                    <w:rPr>
                      <w:rFonts w:eastAsia="Times New Roman" w:cs="Calibri"/>
                      <w:b/>
                      <w:bCs/>
                      <w:color w:val="000000"/>
                      <w:sz w:val="18"/>
                      <w:szCs w:val="18"/>
                      <w:lang w:eastAsia="es-CL"/>
                    </w:rPr>
                    <w:t>Los Lagos</w:t>
                  </w:r>
                </w:p>
              </w:tc>
              <w:tc>
                <w:tcPr>
                  <w:tcW w:w="1187" w:type="dxa"/>
                  <w:tcBorders>
                    <w:top w:val="single" w:sz="8" w:space="0" w:color="7F7F7F"/>
                    <w:left w:val="nil"/>
                    <w:bottom w:val="single" w:sz="8" w:space="0" w:color="7F7F7F"/>
                    <w:right w:val="nil"/>
                  </w:tcBorders>
                  <w:noWrap/>
                  <w:vAlign w:val="center"/>
                  <w:hideMark/>
                </w:tcPr>
                <w:p w14:paraId="568A8246" w14:textId="77777777" w:rsidR="009E1FA3" w:rsidRPr="009E1FA3" w:rsidRDefault="009E1FA3" w:rsidP="009E1FA3">
                  <w:pPr>
                    <w:spacing w:after="0" w:line="276" w:lineRule="auto"/>
                    <w:jc w:val="center"/>
                    <w:rPr>
                      <w:rFonts w:eastAsia="Times New Roman" w:cs="Calibri"/>
                      <w:b/>
                      <w:bCs/>
                      <w:color w:val="000000"/>
                      <w:sz w:val="18"/>
                      <w:szCs w:val="18"/>
                      <w:lang w:eastAsia="es-CL"/>
                    </w:rPr>
                  </w:pPr>
                  <w:r w:rsidRPr="009E1FA3">
                    <w:rPr>
                      <w:rFonts w:eastAsia="Times New Roman" w:cs="Calibri"/>
                      <w:b/>
                      <w:bCs/>
                      <w:color w:val="000000"/>
                      <w:sz w:val="18"/>
                      <w:szCs w:val="18"/>
                      <w:lang w:eastAsia="es-CL"/>
                    </w:rPr>
                    <w:t>Promedio país</w:t>
                  </w:r>
                </w:p>
              </w:tc>
            </w:tr>
            <w:tr w:rsidR="009E1FA3" w:rsidRPr="009E1FA3" w14:paraId="43122030" w14:textId="77777777" w:rsidTr="009A1D5B">
              <w:trPr>
                <w:trHeight w:val="350"/>
              </w:trPr>
              <w:tc>
                <w:tcPr>
                  <w:tcW w:w="1937" w:type="dxa"/>
                  <w:vMerge/>
                  <w:tcBorders>
                    <w:top w:val="single" w:sz="8" w:space="0" w:color="7F7F7F"/>
                    <w:left w:val="nil"/>
                    <w:bottom w:val="single" w:sz="8" w:space="0" w:color="7F7F7F"/>
                    <w:right w:val="nil"/>
                  </w:tcBorders>
                  <w:vAlign w:val="center"/>
                  <w:hideMark/>
                </w:tcPr>
                <w:p w14:paraId="1B0DC310" w14:textId="77777777" w:rsidR="009E1FA3" w:rsidRPr="009E1FA3" w:rsidRDefault="009E1FA3" w:rsidP="009E1FA3">
                  <w:pPr>
                    <w:spacing w:after="0" w:line="276" w:lineRule="auto"/>
                    <w:rPr>
                      <w:rFonts w:eastAsia="Times New Roman" w:cs="Calibri"/>
                      <w:color w:val="000000"/>
                      <w:sz w:val="18"/>
                      <w:szCs w:val="18"/>
                      <w:lang w:eastAsia="es-CL"/>
                    </w:rPr>
                  </w:pPr>
                </w:p>
              </w:tc>
              <w:tc>
                <w:tcPr>
                  <w:tcW w:w="1514" w:type="dxa"/>
                  <w:tcBorders>
                    <w:top w:val="nil"/>
                    <w:left w:val="nil"/>
                    <w:bottom w:val="single" w:sz="8" w:space="0" w:color="7F7F7F"/>
                    <w:right w:val="nil"/>
                  </w:tcBorders>
                  <w:noWrap/>
                  <w:vAlign w:val="center"/>
                  <w:hideMark/>
                </w:tcPr>
                <w:p w14:paraId="7A00F24F"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Pobreza</w:t>
                  </w:r>
                </w:p>
              </w:tc>
              <w:tc>
                <w:tcPr>
                  <w:tcW w:w="1391" w:type="dxa"/>
                  <w:tcBorders>
                    <w:top w:val="nil"/>
                    <w:left w:val="nil"/>
                    <w:bottom w:val="single" w:sz="8" w:space="0" w:color="7F7F7F"/>
                    <w:right w:val="nil"/>
                  </w:tcBorders>
                  <w:noWrap/>
                  <w:vAlign w:val="center"/>
                  <w:hideMark/>
                </w:tcPr>
                <w:p w14:paraId="115CB511"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Pobreza</w:t>
                  </w:r>
                </w:p>
              </w:tc>
              <w:tc>
                <w:tcPr>
                  <w:tcW w:w="845" w:type="dxa"/>
                  <w:tcBorders>
                    <w:top w:val="nil"/>
                    <w:left w:val="nil"/>
                    <w:bottom w:val="single" w:sz="8" w:space="0" w:color="7F7F7F"/>
                    <w:right w:val="nil"/>
                  </w:tcBorders>
                  <w:noWrap/>
                  <w:vAlign w:val="center"/>
                  <w:hideMark/>
                </w:tcPr>
                <w:p w14:paraId="2C9B041A"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Pobreza</w:t>
                  </w:r>
                </w:p>
              </w:tc>
              <w:tc>
                <w:tcPr>
                  <w:tcW w:w="2196" w:type="dxa"/>
                  <w:tcBorders>
                    <w:top w:val="nil"/>
                    <w:left w:val="nil"/>
                    <w:bottom w:val="single" w:sz="8" w:space="0" w:color="7F7F7F"/>
                    <w:right w:val="nil"/>
                  </w:tcBorders>
                  <w:noWrap/>
                  <w:vAlign w:val="center"/>
                  <w:hideMark/>
                </w:tcPr>
                <w:p w14:paraId="51F91264"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Pobreza</w:t>
                  </w:r>
                </w:p>
              </w:tc>
              <w:tc>
                <w:tcPr>
                  <w:tcW w:w="1187" w:type="dxa"/>
                  <w:tcBorders>
                    <w:top w:val="nil"/>
                    <w:left w:val="nil"/>
                    <w:bottom w:val="single" w:sz="8" w:space="0" w:color="7F7F7F"/>
                    <w:right w:val="nil"/>
                  </w:tcBorders>
                  <w:noWrap/>
                  <w:vAlign w:val="center"/>
                  <w:hideMark/>
                </w:tcPr>
                <w:p w14:paraId="5B4361F7"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Pobreza</w:t>
                  </w:r>
                </w:p>
              </w:tc>
            </w:tr>
            <w:tr w:rsidR="009E1FA3" w:rsidRPr="009E1FA3" w14:paraId="75C3E665" w14:textId="77777777" w:rsidTr="009A1D5B">
              <w:trPr>
                <w:trHeight w:val="350"/>
              </w:trPr>
              <w:tc>
                <w:tcPr>
                  <w:tcW w:w="1937" w:type="dxa"/>
                  <w:tcBorders>
                    <w:top w:val="nil"/>
                    <w:left w:val="nil"/>
                    <w:bottom w:val="nil"/>
                    <w:right w:val="nil"/>
                  </w:tcBorders>
                  <w:noWrap/>
                  <w:vAlign w:val="center"/>
                  <w:hideMark/>
                </w:tcPr>
                <w:p w14:paraId="2969BB03" w14:textId="77777777" w:rsidR="009E1FA3" w:rsidRPr="009E1FA3" w:rsidRDefault="009E1FA3" w:rsidP="009E1FA3">
                  <w:pPr>
                    <w:spacing w:after="0" w:line="276" w:lineRule="auto"/>
                    <w:rPr>
                      <w:rFonts w:eastAsia="Times New Roman" w:cs="Calibri"/>
                      <w:b/>
                      <w:bCs/>
                      <w:color w:val="000000"/>
                      <w:sz w:val="18"/>
                      <w:szCs w:val="18"/>
                      <w:lang w:eastAsia="es-CL"/>
                    </w:rPr>
                  </w:pPr>
                  <w:r w:rsidRPr="009E1FA3">
                    <w:rPr>
                      <w:rFonts w:eastAsia="Times New Roman" w:cs="Calibri"/>
                      <w:b/>
                      <w:bCs/>
                      <w:color w:val="000000"/>
                      <w:sz w:val="18"/>
                      <w:szCs w:val="18"/>
                      <w:lang w:eastAsia="es-CL"/>
                    </w:rPr>
                    <w:t>Hogares con jefaturas femeninas</w:t>
                  </w:r>
                </w:p>
              </w:tc>
              <w:tc>
                <w:tcPr>
                  <w:tcW w:w="1514" w:type="dxa"/>
                  <w:tcBorders>
                    <w:top w:val="nil"/>
                    <w:left w:val="nil"/>
                    <w:bottom w:val="nil"/>
                    <w:right w:val="nil"/>
                  </w:tcBorders>
                  <w:noWrap/>
                  <w:vAlign w:val="center"/>
                </w:tcPr>
                <w:p w14:paraId="5838394E"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11,7%</w:t>
                  </w:r>
                </w:p>
              </w:tc>
              <w:tc>
                <w:tcPr>
                  <w:tcW w:w="1391" w:type="dxa"/>
                  <w:tcBorders>
                    <w:top w:val="nil"/>
                    <w:left w:val="nil"/>
                    <w:bottom w:val="nil"/>
                    <w:right w:val="nil"/>
                  </w:tcBorders>
                  <w:noWrap/>
                  <w:vAlign w:val="center"/>
                </w:tcPr>
                <w:p w14:paraId="7FFB4FA8"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16,6%</w:t>
                  </w:r>
                </w:p>
              </w:tc>
              <w:tc>
                <w:tcPr>
                  <w:tcW w:w="845" w:type="dxa"/>
                  <w:tcBorders>
                    <w:top w:val="nil"/>
                    <w:left w:val="nil"/>
                    <w:bottom w:val="nil"/>
                    <w:right w:val="nil"/>
                  </w:tcBorders>
                  <w:noWrap/>
                  <w:vAlign w:val="center"/>
                </w:tcPr>
                <w:p w14:paraId="672BD691"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16,5%</w:t>
                  </w:r>
                </w:p>
              </w:tc>
              <w:tc>
                <w:tcPr>
                  <w:tcW w:w="2196" w:type="dxa"/>
                  <w:tcBorders>
                    <w:top w:val="nil"/>
                    <w:left w:val="nil"/>
                    <w:bottom w:val="nil"/>
                    <w:right w:val="nil"/>
                  </w:tcBorders>
                  <w:noWrap/>
                  <w:vAlign w:val="center"/>
                </w:tcPr>
                <w:p w14:paraId="17D3604E"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16,9%</w:t>
                  </w:r>
                </w:p>
              </w:tc>
              <w:tc>
                <w:tcPr>
                  <w:tcW w:w="1187" w:type="dxa"/>
                  <w:tcBorders>
                    <w:top w:val="nil"/>
                    <w:left w:val="nil"/>
                    <w:bottom w:val="nil"/>
                    <w:right w:val="nil"/>
                  </w:tcBorders>
                  <w:noWrap/>
                  <w:vAlign w:val="center"/>
                  <w:hideMark/>
                </w:tcPr>
                <w:p w14:paraId="23224BD5"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14,4%</w:t>
                  </w:r>
                </w:p>
              </w:tc>
            </w:tr>
            <w:tr w:rsidR="009E1FA3" w:rsidRPr="009E1FA3" w14:paraId="6893CDF9" w14:textId="77777777" w:rsidTr="009A1D5B">
              <w:trPr>
                <w:trHeight w:val="575"/>
              </w:trPr>
              <w:tc>
                <w:tcPr>
                  <w:tcW w:w="1937" w:type="dxa"/>
                  <w:tcBorders>
                    <w:top w:val="single" w:sz="8" w:space="0" w:color="7F7F7F"/>
                    <w:left w:val="nil"/>
                    <w:bottom w:val="single" w:sz="8" w:space="0" w:color="7F7F7F"/>
                    <w:right w:val="nil"/>
                  </w:tcBorders>
                  <w:vAlign w:val="center"/>
                  <w:hideMark/>
                </w:tcPr>
                <w:p w14:paraId="776A9D7C" w14:textId="77777777" w:rsidR="009E1FA3" w:rsidRPr="009E1FA3" w:rsidRDefault="009E1FA3" w:rsidP="009E1FA3">
                  <w:pPr>
                    <w:spacing w:after="0" w:line="276" w:lineRule="auto"/>
                    <w:rPr>
                      <w:rFonts w:eastAsia="Times New Roman" w:cs="Calibri"/>
                      <w:b/>
                      <w:bCs/>
                      <w:color w:val="000000"/>
                      <w:sz w:val="18"/>
                      <w:szCs w:val="18"/>
                      <w:lang w:eastAsia="es-CL"/>
                    </w:rPr>
                  </w:pPr>
                  <w:r w:rsidRPr="009E1FA3">
                    <w:rPr>
                      <w:rFonts w:eastAsia="Times New Roman" w:cs="Calibri"/>
                      <w:b/>
                      <w:bCs/>
                      <w:color w:val="000000"/>
                      <w:sz w:val="18"/>
                      <w:szCs w:val="18"/>
                      <w:lang w:eastAsia="es-CL"/>
                    </w:rPr>
                    <w:t>Hogares con jefatura pertenecientes a pueblo mapuche</w:t>
                  </w:r>
                </w:p>
              </w:tc>
              <w:tc>
                <w:tcPr>
                  <w:tcW w:w="1514" w:type="dxa"/>
                  <w:tcBorders>
                    <w:top w:val="single" w:sz="8" w:space="0" w:color="7F7F7F"/>
                    <w:left w:val="nil"/>
                    <w:bottom w:val="single" w:sz="8" w:space="0" w:color="7F7F7F"/>
                    <w:right w:val="nil"/>
                  </w:tcBorders>
                  <w:noWrap/>
                  <w:vAlign w:val="center"/>
                  <w:hideMark/>
                </w:tcPr>
                <w:p w14:paraId="5028945C"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16,9%</w:t>
                  </w:r>
                </w:p>
              </w:tc>
              <w:tc>
                <w:tcPr>
                  <w:tcW w:w="1391" w:type="dxa"/>
                  <w:tcBorders>
                    <w:top w:val="single" w:sz="8" w:space="0" w:color="7F7F7F"/>
                    <w:left w:val="nil"/>
                    <w:bottom w:val="single" w:sz="8" w:space="0" w:color="7F7F7F"/>
                    <w:right w:val="nil"/>
                  </w:tcBorders>
                  <w:noWrap/>
                  <w:vAlign w:val="center"/>
                  <w:hideMark/>
                </w:tcPr>
                <w:p w14:paraId="3FD06011"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29,1%</w:t>
                  </w:r>
                </w:p>
              </w:tc>
              <w:tc>
                <w:tcPr>
                  <w:tcW w:w="845" w:type="dxa"/>
                  <w:tcBorders>
                    <w:top w:val="single" w:sz="8" w:space="0" w:color="7F7F7F"/>
                    <w:left w:val="nil"/>
                    <w:bottom w:val="single" w:sz="8" w:space="0" w:color="7F7F7F"/>
                    <w:right w:val="nil"/>
                  </w:tcBorders>
                  <w:noWrap/>
                  <w:vAlign w:val="center"/>
                  <w:hideMark/>
                </w:tcPr>
                <w:p w14:paraId="3802536E"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25,4%</w:t>
                  </w:r>
                </w:p>
              </w:tc>
              <w:tc>
                <w:tcPr>
                  <w:tcW w:w="2196" w:type="dxa"/>
                  <w:tcBorders>
                    <w:top w:val="single" w:sz="8" w:space="0" w:color="7F7F7F"/>
                    <w:left w:val="nil"/>
                    <w:bottom w:val="single" w:sz="8" w:space="0" w:color="7F7F7F"/>
                    <w:right w:val="nil"/>
                  </w:tcBorders>
                  <w:noWrap/>
                  <w:vAlign w:val="center"/>
                  <w:hideMark/>
                </w:tcPr>
                <w:p w14:paraId="4C4761FA"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23,3%</w:t>
                  </w:r>
                </w:p>
              </w:tc>
              <w:tc>
                <w:tcPr>
                  <w:tcW w:w="1187" w:type="dxa"/>
                  <w:tcBorders>
                    <w:top w:val="single" w:sz="8" w:space="0" w:color="7F7F7F"/>
                    <w:left w:val="nil"/>
                    <w:bottom w:val="single" w:sz="8" w:space="0" w:color="7F7F7F"/>
                    <w:right w:val="nil"/>
                  </w:tcBorders>
                  <w:noWrap/>
                  <w:vAlign w:val="center"/>
                  <w:hideMark/>
                </w:tcPr>
                <w:p w14:paraId="69868471"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19,3%</w:t>
                  </w:r>
                </w:p>
              </w:tc>
            </w:tr>
            <w:tr w:rsidR="009E1FA3" w:rsidRPr="009E1FA3" w14:paraId="554F0AA7" w14:textId="77777777" w:rsidTr="009A1D5B">
              <w:trPr>
                <w:trHeight w:val="350"/>
              </w:trPr>
              <w:tc>
                <w:tcPr>
                  <w:tcW w:w="1937" w:type="dxa"/>
                  <w:tcBorders>
                    <w:top w:val="nil"/>
                    <w:left w:val="nil"/>
                    <w:bottom w:val="nil"/>
                    <w:right w:val="nil"/>
                  </w:tcBorders>
                  <w:noWrap/>
                  <w:vAlign w:val="center"/>
                  <w:hideMark/>
                </w:tcPr>
                <w:p w14:paraId="0951AB04" w14:textId="77777777" w:rsidR="009E1FA3" w:rsidRPr="009E1FA3" w:rsidRDefault="009E1FA3" w:rsidP="009E1FA3">
                  <w:pPr>
                    <w:spacing w:after="0" w:line="276" w:lineRule="auto"/>
                    <w:rPr>
                      <w:rFonts w:eastAsia="Times New Roman" w:cs="Calibri"/>
                      <w:b/>
                      <w:bCs/>
                      <w:color w:val="000000"/>
                      <w:sz w:val="18"/>
                      <w:szCs w:val="18"/>
                      <w:lang w:eastAsia="es-CL"/>
                    </w:rPr>
                  </w:pPr>
                  <w:r w:rsidRPr="009E1FA3">
                    <w:rPr>
                      <w:rFonts w:eastAsia="Times New Roman" w:cs="Calibri"/>
                      <w:b/>
                      <w:bCs/>
                      <w:color w:val="000000"/>
                      <w:sz w:val="18"/>
                      <w:szCs w:val="18"/>
                      <w:lang w:eastAsia="es-CL"/>
                    </w:rPr>
                    <w:t>Hogares rurales</w:t>
                  </w:r>
                </w:p>
              </w:tc>
              <w:tc>
                <w:tcPr>
                  <w:tcW w:w="1514" w:type="dxa"/>
                  <w:tcBorders>
                    <w:top w:val="nil"/>
                    <w:left w:val="nil"/>
                    <w:bottom w:val="nil"/>
                    <w:right w:val="nil"/>
                  </w:tcBorders>
                  <w:noWrap/>
                  <w:vAlign w:val="center"/>
                  <w:hideMark/>
                </w:tcPr>
                <w:p w14:paraId="1D1A7EF7"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29,2%</w:t>
                  </w:r>
                </w:p>
              </w:tc>
              <w:tc>
                <w:tcPr>
                  <w:tcW w:w="1391" w:type="dxa"/>
                  <w:tcBorders>
                    <w:top w:val="nil"/>
                    <w:left w:val="nil"/>
                    <w:bottom w:val="nil"/>
                    <w:right w:val="nil"/>
                  </w:tcBorders>
                  <w:noWrap/>
                  <w:vAlign w:val="center"/>
                  <w:hideMark/>
                </w:tcPr>
                <w:p w14:paraId="1C857A49"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33,5%</w:t>
                  </w:r>
                </w:p>
              </w:tc>
              <w:tc>
                <w:tcPr>
                  <w:tcW w:w="845" w:type="dxa"/>
                  <w:tcBorders>
                    <w:top w:val="nil"/>
                    <w:left w:val="nil"/>
                    <w:bottom w:val="nil"/>
                    <w:right w:val="nil"/>
                  </w:tcBorders>
                  <w:noWrap/>
                  <w:vAlign w:val="center"/>
                  <w:hideMark/>
                </w:tcPr>
                <w:p w14:paraId="47B110F8"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25,4%</w:t>
                  </w:r>
                </w:p>
              </w:tc>
              <w:tc>
                <w:tcPr>
                  <w:tcW w:w="2196" w:type="dxa"/>
                  <w:tcBorders>
                    <w:top w:val="nil"/>
                    <w:left w:val="nil"/>
                    <w:bottom w:val="nil"/>
                    <w:right w:val="nil"/>
                  </w:tcBorders>
                  <w:noWrap/>
                  <w:vAlign w:val="center"/>
                  <w:hideMark/>
                </w:tcPr>
                <w:p w14:paraId="6EE4DAC0"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33,3%</w:t>
                  </w:r>
                </w:p>
              </w:tc>
              <w:tc>
                <w:tcPr>
                  <w:tcW w:w="1187" w:type="dxa"/>
                  <w:tcBorders>
                    <w:top w:val="nil"/>
                    <w:left w:val="nil"/>
                    <w:bottom w:val="nil"/>
                    <w:right w:val="nil"/>
                  </w:tcBorders>
                  <w:noWrap/>
                  <w:vAlign w:val="center"/>
                  <w:hideMark/>
                </w:tcPr>
                <w:p w14:paraId="5CA8DDBA"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25,7%</w:t>
                  </w:r>
                </w:p>
              </w:tc>
            </w:tr>
            <w:tr w:rsidR="009E1FA3" w:rsidRPr="009E1FA3" w14:paraId="01661491" w14:textId="77777777" w:rsidTr="009A1D5B">
              <w:trPr>
                <w:trHeight w:val="350"/>
              </w:trPr>
              <w:tc>
                <w:tcPr>
                  <w:tcW w:w="1937" w:type="dxa"/>
                  <w:tcBorders>
                    <w:top w:val="single" w:sz="8" w:space="0" w:color="7F7F7F"/>
                    <w:left w:val="nil"/>
                    <w:bottom w:val="single" w:sz="8" w:space="0" w:color="7F7F7F"/>
                    <w:right w:val="nil"/>
                  </w:tcBorders>
                  <w:noWrap/>
                  <w:vAlign w:val="center"/>
                  <w:hideMark/>
                </w:tcPr>
                <w:p w14:paraId="54587997" w14:textId="77777777" w:rsidR="009E1FA3" w:rsidRPr="009E1FA3" w:rsidRDefault="009E1FA3" w:rsidP="009E1FA3">
                  <w:pPr>
                    <w:spacing w:after="0" w:line="276" w:lineRule="auto"/>
                    <w:rPr>
                      <w:rFonts w:eastAsia="Times New Roman" w:cs="Calibri"/>
                      <w:b/>
                      <w:bCs/>
                      <w:color w:val="000000"/>
                      <w:sz w:val="18"/>
                      <w:szCs w:val="18"/>
                      <w:lang w:eastAsia="es-CL"/>
                    </w:rPr>
                  </w:pPr>
                  <w:r w:rsidRPr="009E1FA3">
                    <w:rPr>
                      <w:rFonts w:eastAsia="Times New Roman" w:cs="Calibri"/>
                      <w:b/>
                      <w:bCs/>
                      <w:color w:val="000000"/>
                      <w:sz w:val="18"/>
                      <w:szCs w:val="18"/>
                      <w:lang w:eastAsia="es-CL"/>
                    </w:rPr>
                    <w:t>Hogares urbanos</w:t>
                  </w:r>
                </w:p>
              </w:tc>
              <w:tc>
                <w:tcPr>
                  <w:tcW w:w="1514" w:type="dxa"/>
                  <w:tcBorders>
                    <w:top w:val="single" w:sz="8" w:space="0" w:color="7F7F7F"/>
                    <w:left w:val="nil"/>
                    <w:bottom w:val="single" w:sz="8" w:space="0" w:color="7F7F7F"/>
                    <w:right w:val="nil"/>
                  </w:tcBorders>
                  <w:noWrap/>
                  <w:vAlign w:val="center"/>
                  <w:hideMark/>
                </w:tcPr>
                <w:p w14:paraId="613D7649"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9,5%</w:t>
                  </w:r>
                </w:p>
              </w:tc>
              <w:tc>
                <w:tcPr>
                  <w:tcW w:w="1391" w:type="dxa"/>
                  <w:tcBorders>
                    <w:top w:val="single" w:sz="8" w:space="0" w:color="7F7F7F"/>
                    <w:left w:val="nil"/>
                    <w:bottom w:val="single" w:sz="8" w:space="0" w:color="7F7F7F"/>
                    <w:right w:val="nil"/>
                  </w:tcBorders>
                  <w:noWrap/>
                  <w:vAlign w:val="center"/>
                  <w:hideMark/>
                </w:tcPr>
                <w:p w14:paraId="0DEFC5F5"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11,1%</w:t>
                  </w:r>
                </w:p>
              </w:tc>
              <w:tc>
                <w:tcPr>
                  <w:tcW w:w="845" w:type="dxa"/>
                  <w:tcBorders>
                    <w:top w:val="single" w:sz="8" w:space="0" w:color="7F7F7F"/>
                    <w:left w:val="nil"/>
                    <w:bottom w:val="single" w:sz="8" w:space="0" w:color="7F7F7F"/>
                    <w:right w:val="nil"/>
                  </w:tcBorders>
                  <w:noWrap/>
                  <w:vAlign w:val="center"/>
                  <w:hideMark/>
                </w:tcPr>
                <w:p w14:paraId="428A1003"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12,2%</w:t>
                  </w:r>
                </w:p>
              </w:tc>
              <w:tc>
                <w:tcPr>
                  <w:tcW w:w="2196" w:type="dxa"/>
                  <w:tcBorders>
                    <w:top w:val="single" w:sz="8" w:space="0" w:color="7F7F7F"/>
                    <w:left w:val="nil"/>
                    <w:bottom w:val="single" w:sz="8" w:space="0" w:color="7F7F7F"/>
                    <w:right w:val="nil"/>
                  </w:tcBorders>
                  <w:noWrap/>
                  <w:vAlign w:val="center"/>
                  <w:hideMark/>
                </w:tcPr>
                <w:p w14:paraId="45950BEC"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11,9%</w:t>
                  </w:r>
                </w:p>
              </w:tc>
              <w:tc>
                <w:tcPr>
                  <w:tcW w:w="1187" w:type="dxa"/>
                  <w:tcBorders>
                    <w:top w:val="single" w:sz="8" w:space="0" w:color="7F7F7F"/>
                    <w:left w:val="nil"/>
                    <w:bottom w:val="single" w:sz="8" w:space="0" w:color="7F7F7F"/>
                    <w:right w:val="nil"/>
                  </w:tcBorders>
                  <w:noWrap/>
                  <w:vAlign w:val="center"/>
                  <w:hideMark/>
                </w:tcPr>
                <w:p w14:paraId="01F7257E" w14:textId="77777777" w:rsidR="009E1FA3" w:rsidRPr="009E1FA3" w:rsidRDefault="009E1FA3" w:rsidP="009E1FA3">
                  <w:pPr>
                    <w:spacing w:after="0" w:line="276" w:lineRule="auto"/>
                    <w:jc w:val="center"/>
                    <w:rPr>
                      <w:rFonts w:eastAsia="Times New Roman" w:cs="Calibri"/>
                      <w:color w:val="000000"/>
                      <w:sz w:val="18"/>
                      <w:szCs w:val="18"/>
                      <w:lang w:eastAsia="es-CL"/>
                    </w:rPr>
                  </w:pPr>
                  <w:r w:rsidRPr="009E1FA3">
                    <w:rPr>
                      <w:rFonts w:eastAsia="Times New Roman" w:cs="Calibri"/>
                      <w:color w:val="000000"/>
                      <w:sz w:val="18"/>
                      <w:szCs w:val="18"/>
                      <w:lang w:eastAsia="es-CL"/>
                    </w:rPr>
                    <w:t>11,8%</w:t>
                  </w:r>
                </w:p>
              </w:tc>
            </w:tr>
          </w:tbl>
          <w:p w14:paraId="442F9E39" w14:textId="77777777" w:rsidR="009E1FA3" w:rsidRPr="009E1FA3" w:rsidRDefault="009E1FA3" w:rsidP="009E1FA3">
            <w:pPr>
              <w:spacing w:line="276" w:lineRule="auto"/>
              <w:jc w:val="center"/>
            </w:pPr>
            <w:r w:rsidRPr="009E1FA3">
              <w:rPr>
                <w:rFonts w:asciiTheme="majorHAnsi" w:hAnsiTheme="majorHAnsi" w:cstheme="majorHAnsi"/>
                <w:i/>
                <w:iCs/>
                <w:sz w:val="14"/>
                <w:szCs w:val="14"/>
                <w:lang w:val="es-ES"/>
              </w:rPr>
              <w:t>Fuente: Casen 2022. Ministerio de Desarrollo Social</w:t>
            </w:r>
          </w:p>
          <w:p w14:paraId="0C195E64" w14:textId="678FD64B" w:rsidR="6AF1B101" w:rsidRDefault="00C30311" w:rsidP="5176D4DE">
            <w:pPr>
              <w:spacing w:before="240" w:after="240"/>
              <w:rPr>
                <w:rFonts w:ascii="Arial" w:eastAsia="Arial" w:hAnsi="Arial" w:cs="Arial"/>
                <w:color w:val="000000" w:themeColor="text1"/>
              </w:rPr>
            </w:pPr>
            <w:r>
              <w:rPr>
                <w:rFonts w:ascii="Arial" w:eastAsia="Arial" w:hAnsi="Arial" w:cs="Arial"/>
                <w:color w:val="000000" w:themeColor="text1"/>
              </w:rPr>
              <w:t>Los episodios</w:t>
            </w:r>
            <w:r w:rsidR="00A606F7">
              <w:rPr>
                <w:rFonts w:ascii="Arial" w:eastAsia="Arial" w:hAnsi="Arial" w:cs="Arial"/>
                <w:color w:val="000000" w:themeColor="text1"/>
              </w:rPr>
              <w:t xml:space="preserve"> registr</w:t>
            </w:r>
            <w:r w:rsidR="00DD780E">
              <w:rPr>
                <w:rFonts w:ascii="Arial" w:eastAsia="Arial" w:hAnsi="Arial" w:cs="Arial"/>
                <w:color w:val="000000" w:themeColor="text1"/>
              </w:rPr>
              <w:t>ados</w:t>
            </w:r>
            <w:r>
              <w:rPr>
                <w:rFonts w:ascii="Arial" w:eastAsia="Arial" w:hAnsi="Arial" w:cs="Arial"/>
                <w:color w:val="000000" w:themeColor="text1"/>
              </w:rPr>
              <w:t xml:space="preserve"> de violencia rural </w:t>
            </w:r>
            <w:r w:rsidR="00A606F7">
              <w:rPr>
                <w:rFonts w:ascii="Arial" w:eastAsia="Arial" w:hAnsi="Arial" w:cs="Arial"/>
                <w:color w:val="000000" w:themeColor="text1"/>
              </w:rPr>
              <w:t xml:space="preserve">en </w:t>
            </w:r>
            <w:r>
              <w:rPr>
                <w:rFonts w:ascii="Arial" w:eastAsia="Arial" w:hAnsi="Arial" w:cs="Arial"/>
                <w:color w:val="000000" w:themeColor="text1"/>
              </w:rPr>
              <w:t xml:space="preserve">2021 </w:t>
            </w:r>
            <w:r w:rsidR="00DD780E">
              <w:rPr>
                <w:rFonts w:ascii="Arial" w:eastAsia="Arial" w:hAnsi="Arial" w:cs="Arial"/>
                <w:color w:val="000000" w:themeColor="text1"/>
              </w:rPr>
              <w:t>indican un total de</w:t>
            </w:r>
            <w:r>
              <w:rPr>
                <w:rFonts w:ascii="Arial" w:eastAsia="Arial" w:hAnsi="Arial" w:cs="Arial"/>
                <w:color w:val="000000" w:themeColor="text1"/>
              </w:rPr>
              <w:t xml:space="preserve"> 1.</w:t>
            </w:r>
            <w:r w:rsidR="00DD780E">
              <w:rPr>
                <w:rFonts w:ascii="Arial" w:eastAsia="Arial" w:hAnsi="Arial" w:cs="Arial"/>
                <w:color w:val="000000" w:themeColor="text1"/>
              </w:rPr>
              <w:t xml:space="preserve">680 </w:t>
            </w:r>
            <w:r>
              <w:rPr>
                <w:rFonts w:ascii="Arial" w:eastAsia="Arial" w:hAnsi="Arial" w:cs="Arial"/>
                <w:color w:val="000000" w:themeColor="text1"/>
              </w:rPr>
              <w:t xml:space="preserve">eventos anuales, 64% de ellos en La Región de la Araucanía. Ante tales </w:t>
            </w:r>
            <w:r w:rsidR="568ED1DA" w:rsidRPr="5176D4DE">
              <w:rPr>
                <w:rFonts w:ascii="Arial" w:eastAsia="Arial" w:hAnsi="Arial" w:cs="Arial"/>
                <w:color w:val="000000" w:themeColor="text1"/>
              </w:rPr>
              <w:t xml:space="preserve">condiciones de riesgo imperantes en la zona, </w:t>
            </w:r>
            <w:r>
              <w:rPr>
                <w:rFonts w:ascii="Arial" w:eastAsia="Arial" w:hAnsi="Arial" w:cs="Arial"/>
                <w:color w:val="000000" w:themeColor="text1"/>
              </w:rPr>
              <w:t xml:space="preserve">el promedio de participación de contratistas se encontraba </w:t>
            </w:r>
            <w:r w:rsidR="002E669A">
              <w:rPr>
                <w:rFonts w:ascii="Arial" w:eastAsia="Arial" w:hAnsi="Arial" w:cs="Arial"/>
                <w:color w:val="000000" w:themeColor="text1"/>
              </w:rPr>
              <w:t xml:space="preserve">a 2021 </w:t>
            </w:r>
            <w:r>
              <w:rPr>
                <w:rFonts w:ascii="Arial" w:eastAsia="Arial" w:hAnsi="Arial" w:cs="Arial"/>
                <w:color w:val="000000" w:themeColor="text1"/>
              </w:rPr>
              <w:t>por debajo de las 2,4 ofertas por licitación</w:t>
            </w:r>
            <w:r w:rsidR="002E669A">
              <w:rPr>
                <w:rFonts w:ascii="Arial" w:eastAsia="Arial" w:hAnsi="Arial" w:cs="Arial"/>
                <w:color w:val="000000" w:themeColor="text1"/>
              </w:rPr>
              <w:t xml:space="preserve">. Asimismo, </w:t>
            </w:r>
            <w:r w:rsidR="0056757F">
              <w:rPr>
                <w:rFonts w:ascii="Arial" w:eastAsia="Arial" w:hAnsi="Arial" w:cs="Arial"/>
                <w:color w:val="000000" w:themeColor="text1"/>
              </w:rPr>
              <w:t xml:space="preserve">entre 19% (Los Ríos) y </w:t>
            </w:r>
            <w:r w:rsidR="002E669A">
              <w:rPr>
                <w:rFonts w:ascii="Arial" w:eastAsia="Arial" w:hAnsi="Arial" w:cs="Arial"/>
                <w:color w:val="000000" w:themeColor="text1"/>
              </w:rPr>
              <w:t xml:space="preserve">29% </w:t>
            </w:r>
            <w:r w:rsidR="0056757F">
              <w:rPr>
                <w:rFonts w:ascii="Arial" w:eastAsia="Arial" w:hAnsi="Arial" w:cs="Arial"/>
                <w:color w:val="000000" w:themeColor="text1"/>
              </w:rPr>
              <w:t xml:space="preserve">(Araucanía) </w:t>
            </w:r>
            <w:r w:rsidR="002E669A">
              <w:rPr>
                <w:rFonts w:ascii="Arial" w:eastAsia="Arial" w:hAnsi="Arial" w:cs="Arial"/>
                <w:color w:val="000000" w:themeColor="text1"/>
              </w:rPr>
              <w:t xml:space="preserve">de </w:t>
            </w:r>
            <w:r w:rsidR="568ED1DA" w:rsidRPr="5176D4DE">
              <w:rPr>
                <w:rFonts w:ascii="Arial" w:eastAsia="Arial" w:hAnsi="Arial" w:cs="Arial"/>
                <w:color w:val="000000" w:themeColor="text1"/>
              </w:rPr>
              <w:t xml:space="preserve">las licitaciones quedaban desiertas por falta de proponentes o desestimadas por </w:t>
            </w:r>
            <w:r w:rsidR="53AA0D53" w:rsidRPr="5176D4DE">
              <w:rPr>
                <w:rFonts w:ascii="Arial" w:eastAsia="Arial" w:hAnsi="Arial" w:cs="Arial"/>
                <w:color w:val="000000" w:themeColor="text1"/>
              </w:rPr>
              <w:t xml:space="preserve">montos </w:t>
            </w:r>
            <w:r w:rsidR="568ED1DA" w:rsidRPr="5176D4DE">
              <w:rPr>
                <w:rFonts w:ascii="Arial" w:eastAsia="Arial" w:hAnsi="Arial" w:cs="Arial"/>
                <w:color w:val="000000" w:themeColor="text1"/>
              </w:rPr>
              <w:t>ex</w:t>
            </w:r>
            <w:r w:rsidR="6023E47A" w:rsidRPr="5176D4DE">
              <w:rPr>
                <w:rFonts w:ascii="Arial" w:eastAsia="Arial" w:hAnsi="Arial" w:cs="Arial"/>
                <w:color w:val="000000" w:themeColor="text1"/>
              </w:rPr>
              <w:t>cesivos. Esto significaba</w:t>
            </w:r>
            <w:r w:rsidR="65003C08" w:rsidRPr="5176D4DE">
              <w:rPr>
                <w:rFonts w:ascii="Arial" w:eastAsia="Arial" w:hAnsi="Arial" w:cs="Arial"/>
                <w:color w:val="000000" w:themeColor="text1"/>
              </w:rPr>
              <w:t xml:space="preserve"> pérdida de horas profesionales y persistencia del </w:t>
            </w:r>
            <w:r w:rsidR="6023E47A" w:rsidRPr="5176D4DE">
              <w:rPr>
                <w:rFonts w:ascii="Arial" w:eastAsia="Arial" w:hAnsi="Arial" w:cs="Arial"/>
                <w:color w:val="000000" w:themeColor="text1"/>
              </w:rPr>
              <w:t>rezago de la inversión</w:t>
            </w:r>
            <w:r w:rsidR="05F574BD" w:rsidRPr="5176D4DE">
              <w:rPr>
                <w:rFonts w:ascii="Arial" w:eastAsia="Arial" w:hAnsi="Arial" w:cs="Arial"/>
                <w:color w:val="000000" w:themeColor="text1"/>
              </w:rPr>
              <w:t xml:space="preserve">, </w:t>
            </w:r>
            <w:r w:rsidR="7056E446" w:rsidRPr="5176D4DE">
              <w:rPr>
                <w:rFonts w:ascii="Arial" w:eastAsia="Arial" w:hAnsi="Arial" w:cs="Arial"/>
                <w:color w:val="000000" w:themeColor="text1"/>
              </w:rPr>
              <w:t>especialmente,</w:t>
            </w:r>
            <w:r w:rsidR="05F574BD" w:rsidRPr="5176D4DE">
              <w:rPr>
                <w:rFonts w:ascii="Arial" w:eastAsia="Arial" w:hAnsi="Arial" w:cs="Arial"/>
                <w:color w:val="000000" w:themeColor="text1"/>
              </w:rPr>
              <w:t xml:space="preserve"> aunque no exclusivamente en zonas con mayor percepción de riesgo como las provincias de Arauco y Malleco.</w:t>
            </w:r>
            <w:r w:rsidR="6023E47A" w:rsidRPr="5176D4DE">
              <w:rPr>
                <w:rFonts w:ascii="Arial" w:eastAsia="Arial" w:hAnsi="Arial" w:cs="Arial"/>
                <w:color w:val="000000" w:themeColor="text1"/>
              </w:rPr>
              <w:t xml:space="preserve"> </w:t>
            </w:r>
          </w:p>
          <w:p w14:paraId="205895AB" w14:textId="6F66FE13" w:rsidR="12C4E2E6" w:rsidRDefault="44146CE6" w:rsidP="5176D4DE">
            <w:pPr>
              <w:spacing w:before="240" w:after="240"/>
              <w:rPr>
                <w:rFonts w:ascii="Arial" w:eastAsia="Arial" w:hAnsi="Arial" w:cs="Arial"/>
                <w:color w:val="000000" w:themeColor="text1"/>
              </w:rPr>
            </w:pPr>
            <w:r w:rsidRPr="5176D4DE">
              <w:rPr>
                <w:rFonts w:ascii="Arial" w:eastAsia="Arial" w:hAnsi="Arial" w:cs="Arial"/>
                <w:color w:val="000000" w:themeColor="text1"/>
              </w:rPr>
              <w:t>En cuanto a la institucionalidad, se identificaba una limitada coordinación intersectorial para la ejecución de proyectos de infraestructura local en comunidades indígenas y rurales. Los mecanismos de inversión resultaban restrictivos para zonas aisladas o de baja densidad poblacional, debido a que el Sistema Nacional de Inversiones (SNI) priorizaba la evaluación de proyectos bajo criterios de rentabilidad social tradicional, centrados en el número de beneficiarios y la eficiencia económica. Este enfoque dificultaba la aprobación de iniciativas con alto impacto territorial pero bajo retorno económico medible, como caminos de acceso o sistemas de agua potable rural en comunidades dispersas, limitando así la capacidad del Estado para responder a las brechas estructurales de infraestructura en la macrozona sur.</w:t>
            </w:r>
          </w:p>
          <w:p w14:paraId="2CCFC3E0" w14:textId="03291473" w:rsidR="12C4E2E6" w:rsidRDefault="6056BD91" w:rsidP="5176D4DE">
            <w:pPr>
              <w:spacing w:before="240" w:after="240"/>
              <w:rPr>
                <w:rFonts w:ascii="Arial" w:eastAsia="Arial" w:hAnsi="Arial" w:cs="Arial"/>
                <w:color w:val="000000" w:themeColor="text1"/>
              </w:rPr>
            </w:pPr>
            <w:r w:rsidRPr="5176D4DE">
              <w:rPr>
                <w:rFonts w:ascii="Arial" w:eastAsia="Arial" w:hAnsi="Arial" w:cs="Arial"/>
                <w:color w:val="000000" w:themeColor="text1"/>
              </w:rPr>
              <w:t xml:space="preserve">En materia de infraestructura básica, a marzo de 2022 la red vial bajo tuición del MOP en las regiones del Biobío, La Araucanía, Los Ríos y Los Lagos alcanzaba 31.126 kilómetros, de los cuales 36% (11.205 km) estaba pavimentado y 64% (19.921 km) correspondía a caminos de ripio o tierra, frente a un promedio nacional de 52% pavimentado. En cuanto a servicios </w:t>
            </w:r>
            <w:r w:rsidRPr="5176D4DE">
              <w:rPr>
                <w:rFonts w:ascii="Arial" w:eastAsia="Arial" w:hAnsi="Arial" w:cs="Arial"/>
                <w:color w:val="000000" w:themeColor="text1"/>
              </w:rPr>
              <w:lastRenderedPageBreak/>
              <w:t>sanitarios rurales, existían 865 sistemas de Servicios Sanitarios Rurales (SSR) con cobertura para 206 mil viviendas (56% del total), mientras más de 175 mil viviendas —aproximadamente 640 mil personas— dependían de pozos, norias o camiones aljibe, especialmente en sectores dispersos y con presencia indígena. Esta situación reflejaba un déficit estructural de infraestructura y gestión pública, asociado a la ausencia de instrumentos de inversión focalizados que permitieran priorizar las necesidades rurales e indígenas. La falta de coordinación entre los servicios del MOP y otras entidades públicas restringía la planificación integrada, configurando un escenario que requería una política de inversión sostenida, territorialmente diferenciada y con enfoque cultural, orientada a mejorar la equidad y la integración en la macrozona sur.</w:t>
            </w:r>
          </w:p>
          <w:p w14:paraId="03120531" w14:textId="76832289" w:rsidR="12C4E2E6" w:rsidRDefault="44146CE6" w:rsidP="5176D4DE">
            <w:pPr>
              <w:spacing w:before="240" w:after="240"/>
              <w:rPr>
                <w:rFonts w:ascii="Arial" w:eastAsia="Arial" w:hAnsi="Arial" w:cs="Arial"/>
                <w:color w:val="000000" w:themeColor="text1"/>
              </w:rPr>
            </w:pPr>
            <w:r w:rsidRPr="5176D4DE">
              <w:rPr>
                <w:rFonts w:ascii="Arial" w:eastAsia="Arial" w:hAnsi="Arial" w:cs="Arial"/>
                <w:color w:val="000000" w:themeColor="text1"/>
              </w:rPr>
              <w:t>Sobre esta base, el Programa de Infraestructura para el Buen Vivir (PIBV) se concibió como una respuesta estructurada a este diagnóstico, orientada a superar las limitaciones del modelo tradicional de inversión pública y a focalizar la acción del Estado en territorios históricamente postergados del sur de Chile.</w:t>
            </w:r>
          </w:p>
          <w:p w14:paraId="68D37DC8" w14:textId="7EC8C90E" w:rsidR="12C4E2E6" w:rsidRDefault="12C4E2E6" w:rsidP="4742C33E">
            <w:pPr>
              <w:spacing w:before="240" w:after="240"/>
              <w:rPr>
                <w:rFonts w:ascii="Arial" w:eastAsia="Arial" w:hAnsi="Arial" w:cs="Arial"/>
                <w:color w:val="FF0000"/>
                <w:sz w:val="20"/>
                <w:szCs w:val="20"/>
              </w:rPr>
            </w:pPr>
          </w:p>
        </w:tc>
      </w:tr>
    </w:tbl>
    <w:p w14:paraId="4B1FACE2" w14:textId="56BEEF9E" w:rsidR="00AC1CD4" w:rsidRPr="00AC1CD4" w:rsidRDefault="00AC1CD4" w:rsidP="09707CB3">
      <w:pPr>
        <w:spacing w:before="240" w:after="240" w:line="240" w:lineRule="auto"/>
        <w:rPr>
          <w:rFonts w:ascii="Arial" w:eastAsia="Arial" w:hAnsi="Arial" w:cs="Arial"/>
          <w:color w:val="0070C0"/>
        </w:rPr>
      </w:pPr>
    </w:p>
    <w:p w14:paraId="0E7AB160" w14:textId="05EC051A" w:rsidR="000A349A" w:rsidRPr="007A6156" w:rsidRDefault="6E8BC0F2" w:rsidP="001B4265">
      <w:pPr>
        <w:pStyle w:val="Ttulo1"/>
        <w:rPr>
          <w:rFonts w:ascii="Arial" w:hAnsi="Arial" w:cs="Arial"/>
          <w:color w:val="002060"/>
        </w:rPr>
      </w:pPr>
      <w:bookmarkStart w:id="3" w:name="_Toc213772446"/>
      <w:r w:rsidRPr="5176D4DE">
        <w:rPr>
          <w:rFonts w:ascii="Arial" w:hAnsi="Arial" w:cs="Arial"/>
          <w:color w:val="002060"/>
        </w:rPr>
        <w:t>Avances durante el Gobierno (2022-2026)</w:t>
      </w:r>
      <w:bookmarkEnd w:id="3"/>
    </w:p>
    <w:p w14:paraId="7071704D" w14:textId="00914B68" w:rsidR="00A7347A" w:rsidRDefault="00A7347A" w:rsidP="4742C33E">
      <w:pPr>
        <w:spacing w:after="0" w:line="240" w:lineRule="auto"/>
        <w:rPr>
          <w:rFonts w:ascii="Arial" w:hAnsi="Arial" w:cs="Arial"/>
        </w:rPr>
      </w:pPr>
    </w:p>
    <w:tbl>
      <w:tblPr>
        <w:tblStyle w:val="Tablaconcuadrcula"/>
        <w:tblW w:w="9485" w:type="dxa"/>
        <w:tblLayout w:type="fixed"/>
        <w:tblCellMar>
          <w:left w:w="70" w:type="dxa"/>
          <w:right w:w="70" w:type="dxa"/>
        </w:tblCellMar>
        <w:tblLook w:val="04A0" w:firstRow="1" w:lastRow="0" w:firstColumn="1" w:lastColumn="0" w:noHBand="0" w:noVBand="1"/>
      </w:tblPr>
      <w:tblGrid>
        <w:gridCol w:w="9485"/>
      </w:tblGrid>
      <w:tr w:rsidR="12C4E2E6" w14:paraId="0AD601FA" w14:textId="77777777" w:rsidTr="00943293">
        <w:trPr>
          <w:trHeight w:val="4230"/>
        </w:trPr>
        <w:tc>
          <w:tcPr>
            <w:tcW w:w="9485" w:type="dxa"/>
            <w:tcBorders>
              <w:top w:val="single" w:sz="8" w:space="0" w:color="auto"/>
              <w:left w:val="single" w:sz="8" w:space="0" w:color="auto"/>
              <w:bottom w:val="single" w:sz="8" w:space="0" w:color="auto"/>
              <w:right w:val="single" w:sz="8" w:space="0" w:color="auto"/>
            </w:tcBorders>
          </w:tcPr>
          <w:p w14:paraId="26BE2F02" w14:textId="48368FCF" w:rsidR="12C4E2E6" w:rsidRPr="00362B80" w:rsidRDefault="39EB267F" w:rsidP="26884720">
            <w:pPr>
              <w:spacing w:before="240" w:after="240"/>
              <w:rPr>
                <w:rFonts w:ascii="Arial" w:eastAsia="Arial" w:hAnsi="Arial" w:cs="Arial"/>
                <w:color w:val="000000" w:themeColor="text1"/>
              </w:rPr>
            </w:pPr>
            <w:r w:rsidRPr="4742C33E">
              <w:rPr>
                <w:rFonts w:ascii="Arial" w:eastAsia="Arial" w:hAnsi="Arial" w:cs="Arial"/>
              </w:rPr>
              <w:t xml:space="preserve">Durante el período 2022–2026, el Ministerio de Obras Públicas impulsó una agenda de inversión destinada a revertir las brechas de conectividad, acceso a agua potable y coordinación institucional identificadas al inicio del Gobierno. En las regiones del Biobío, La Araucanía, Los Ríos y Los Lagos, se puso en marcha una estrategia de inversión territorial sostenida y con enfoque intercultural, orientada a fortalecer la presencia del Estado y mejorar las condiciones de </w:t>
            </w:r>
            <w:r w:rsidRPr="00362B80">
              <w:rPr>
                <w:rFonts w:ascii="Arial" w:eastAsia="Arial" w:hAnsi="Arial" w:cs="Arial"/>
                <w:color w:val="000000" w:themeColor="text1"/>
              </w:rPr>
              <w:t>vida en los territorios rurales e indígenas.</w:t>
            </w:r>
          </w:p>
          <w:p w14:paraId="66B8F045" w14:textId="7F7783BB" w:rsidR="12C4E2E6" w:rsidRPr="00362B80" w:rsidRDefault="09DB259B" w:rsidP="5176D4DE">
            <w:pPr>
              <w:spacing w:before="240" w:after="240"/>
              <w:rPr>
                <w:rFonts w:ascii="Arial" w:eastAsia="Arial" w:hAnsi="Arial" w:cs="Arial"/>
                <w:color w:val="000000" w:themeColor="text1"/>
              </w:rPr>
            </w:pPr>
            <w:r w:rsidRPr="00362B80">
              <w:rPr>
                <w:rFonts w:ascii="Arial" w:eastAsia="Arial" w:hAnsi="Arial" w:cs="Arial"/>
                <w:color w:val="000000" w:themeColor="text1"/>
              </w:rPr>
              <w:t xml:space="preserve">A nivel nacional, el principal instrumento de esta estrategia fue el Programa de Infraestructura para el Buen Vivir (PIBV), incorporado </w:t>
            </w:r>
            <w:r w:rsidR="491991B5" w:rsidRPr="00362B80">
              <w:rPr>
                <w:rFonts w:ascii="Arial" w:eastAsia="Arial" w:hAnsi="Arial" w:cs="Arial"/>
                <w:color w:val="000000" w:themeColor="text1"/>
              </w:rPr>
              <w:t xml:space="preserve">a partir de </w:t>
            </w:r>
            <w:r w:rsidRPr="00362B80">
              <w:rPr>
                <w:rFonts w:ascii="Arial" w:eastAsia="Arial" w:hAnsi="Arial" w:cs="Arial"/>
                <w:color w:val="000000" w:themeColor="text1"/>
              </w:rPr>
              <w:t>la Ley de Presupuestos 2023 como Programa 0214 de la D</w:t>
            </w:r>
            <w:r w:rsidR="36805A28" w:rsidRPr="00362B80">
              <w:rPr>
                <w:rFonts w:ascii="Arial" w:eastAsia="Arial" w:hAnsi="Arial" w:cs="Arial"/>
                <w:color w:val="000000" w:themeColor="text1"/>
              </w:rPr>
              <w:t>irección General de Obras Públicas (DG</w:t>
            </w:r>
            <w:r w:rsidRPr="00362B80">
              <w:rPr>
                <w:rFonts w:ascii="Arial" w:eastAsia="Arial" w:hAnsi="Arial" w:cs="Arial"/>
                <w:color w:val="000000" w:themeColor="text1"/>
              </w:rPr>
              <w:t>OP</w:t>
            </w:r>
            <w:r w:rsidR="5C5C234F" w:rsidRPr="00362B80">
              <w:rPr>
                <w:rFonts w:ascii="Arial" w:eastAsia="Arial" w:hAnsi="Arial" w:cs="Arial"/>
                <w:color w:val="000000" w:themeColor="text1"/>
              </w:rPr>
              <w:t>)</w:t>
            </w:r>
            <w:r w:rsidRPr="00362B80">
              <w:rPr>
                <w:rFonts w:ascii="Arial" w:eastAsia="Arial" w:hAnsi="Arial" w:cs="Arial"/>
                <w:color w:val="000000" w:themeColor="text1"/>
              </w:rPr>
              <w:t xml:space="preserve">. Este programa fue diseñado para coordinar la inversión pública en zonas rurales con </w:t>
            </w:r>
            <w:r w:rsidR="0346FB54" w:rsidRPr="00362B80">
              <w:rPr>
                <w:rFonts w:ascii="Arial" w:eastAsia="Arial" w:hAnsi="Arial" w:cs="Arial"/>
                <w:color w:val="000000" w:themeColor="text1"/>
              </w:rPr>
              <w:t xml:space="preserve">alta </w:t>
            </w:r>
            <w:r w:rsidRPr="00362B80">
              <w:rPr>
                <w:rFonts w:ascii="Arial" w:eastAsia="Arial" w:hAnsi="Arial" w:cs="Arial"/>
                <w:color w:val="000000" w:themeColor="text1"/>
              </w:rPr>
              <w:t xml:space="preserve">presencia indígena, integrando las capacidades del MOP con la Estrategia de Entendimiento y Buen Vivir del Ministerio del Interior. Entre 2023 y 2025 se </w:t>
            </w:r>
            <w:r w:rsidR="005118F2" w:rsidRPr="00362B80">
              <w:rPr>
                <w:rFonts w:ascii="Arial" w:eastAsia="Arial" w:hAnsi="Arial" w:cs="Arial"/>
                <w:color w:val="000000" w:themeColor="text1"/>
              </w:rPr>
              <w:t>ha invertido en 810 obras</w:t>
            </w:r>
            <w:r w:rsidRPr="00362B80">
              <w:rPr>
                <w:rFonts w:ascii="Arial" w:eastAsia="Arial" w:hAnsi="Arial" w:cs="Arial"/>
                <w:color w:val="000000" w:themeColor="text1"/>
              </w:rPr>
              <w:t xml:space="preserve">, </w:t>
            </w:r>
            <w:r w:rsidR="005118F2" w:rsidRPr="00362B80">
              <w:rPr>
                <w:rFonts w:ascii="Arial" w:eastAsia="Arial" w:hAnsi="Arial" w:cs="Arial"/>
                <w:color w:val="000000" w:themeColor="text1"/>
              </w:rPr>
              <w:t xml:space="preserve">de las cuales 486 ya se encuentran en servicio, con una inversión </w:t>
            </w:r>
            <w:r w:rsidR="00CC1799">
              <w:rPr>
                <w:rFonts w:ascii="Arial" w:eastAsia="Arial" w:hAnsi="Arial" w:cs="Arial"/>
                <w:color w:val="000000" w:themeColor="text1"/>
              </w:rPr>
              <w:t xml:space="preserve">MOP </w:t>
            </w:r>
            <w:r w:rsidR="005118F2" w:rsidRPr="00362B80">
              <w:rPr>
                <w:rFonts w:ascii="Arial" w:eastAsia="Arial" w:hAnsi="Arial" w:cs="Arial"/>
                <w:color w:val="000000" w:themeColor="text1"/>
              </w:rPr>
              <w:t>total de MM$ 1.092. En el conjunto de las cuatro regiones, la ejecución ha permitido mejorar la cobertura de infraestructura en más de 3.096 comunidades rurales e indígenas, contribuyendo a la reducción de brechas en conectividad y servicios básicos.</w:t>
            </w:r>
          </w:p>
          <w:p w14:paraId="0A02BF96" w14:textId="77777777" w:rsidR="00F57183" w:rsidRDefault="00F57183" w:rsidP="5176D4DE">
            <w:pPr>
              <w:spacing w:before="240" w:after="240"/>
              <w:rPr>
                <w:rFonts w:ascii="Arial" w:eastAsia="Arial" w:hAnsi="Arial" w:cs="Arial"/>
              </w:rPr>
            </w:pPr>
          </w:p>
          <w:p w14:paraId="49B39D5D" w14:textId="77777777" w:rsidR="00F57183" w:rsidRDefault="00F57183" w:rsidP="00F57183">
            <w:pPr>
              <w:keepNext/>
              <w:spacing w:after="200" w:line="276" w:lineRule="auto"/>
              <w:jc w:val="center"/>
              <w:rPr>
                <w:rFonts w:asciiTheme="majorHAnsi" w:hAnsiTheme="majorHAnsi" w:cstheme="majorHAnsi"/>
                <w:b/>
                <w:bCs/>
                <w:i/>
                <w:iCs/>
                <w:kern w:val="2"/>
                <w:sz w:val="16"/>
                <w:szCs w:val="16"/>
                <w:lang w:val="es-ES"/>
                <w14:ligatures w14:val="standardContextual"/>
              </w:rPr>
            </w:pPr>
          </w:p>
          <w:p w14:paraId="2DFB2E8E" w14:textId="77777777" w:rsidR="00F57183" w:rsidRPr="00F57183" w:rsidRDefault="00F57183" w:rsidP="00F57183">
            <w:pPr>
              <w:keepNext/>
              <w:spacing w:after="200" w:line="276" w:lineRule="auto"/>
              <w:jc w:val="center"/>
              <w:rPr>
                <w:rFonts w:asciiTheme="majorHAnsi" w:hAnsiTheme="majorHAnsi" w:cstheme="majorHAnsi"/>
                <w:b/>
                <w:bCs/>
                <w:i/>
                <w:iCs/>
                <w:kern w:val="2"/>
                <w:sz w:val="16"/>
                <w:szCs w:val="16"/>
                <w:lang w:val="es-ES"/>
                <w14:ligatures w14:val="standardContextual"/>
              </w:rPr>
            </w:pPr>
            <w:r>
              <w:rPr>
                <w:rFonts w:asciiTheme="majorHAnsi" w:hAnsiTheme="majorHAnsi" w:cstheme="majorHAnsi"/>
                <w:b/>
                <w:bCs/>
                <w:i/>
                <w:iCs/>
                <w:kern w:val="2"/>
                <w:sz w:val="16"/>
                <w:szCs w:val="16"/>
                <w:lang w:val="es-ES"/>
                <w14:ligatures w14:val="standardContextual"/>
              </w:rPr>
              <w:t xml:space="preserve">Gráfico: </w:t>
            </w:r>
            <w:r w:rsidRPr="00F57183">
              <w:rPr>
                <w:rFonts w:asciiTheme="majorHAnsi" w:hAnsiTheme="majorHAnsi" w:cstheme="majorHAnsi"/>
                <w:b/>
                <w:bCs/>
                <w:i/>
                <w:iCs/>
                <w:kern w:val="2"/>
                <w:sz w:val="16"/>
                <w:szCs w:val="16"/>
                <w:lang w:val="es-ES"/>
                <w14:ligatures w14:val="standardContextual"/>
              </w:rPr>
              <w:t xml:space="preserve">Serie 2023-2026 </w:t>
            </w:r>
            <w:r>
              <w:rPr>
                <w:rFonts w:asciiTheme="majorHAnsi" w:hAnsiTheme="majorHAnsi" w:cstheme="majorHAnsi"/>
                <w:b/>
                <w:bCs/>
                <w:i/>
                <w:iCs/>
                <w:kern w:val="2"/>
                <w:sz w:val="16"/>
                <w:szCs w:val="16"/>
                <w:lang w:val="es-ES"/>
                <w14:ligatures w14:val="standardContextual"/>
              </w:rPr>
              <w:t xml:space="preserve">Inversión </w:t>
            </w:r>
            <w:r w:rsidRPr="00F57183">
              <w:rPr>
                <w:rFonts w:asciiTheme="majorHAnsi" w:hAnsiTheme="majorHAnsi" w:cstheme="majorHAnsi"/>
                <w:b/>
                <w:bCs/>
                <w:i/>
                <w:iCs/>
                <w:kern w:val="2"/>
                <w:sz w:val="16"/>
                <w:szCs w:val="16"/>
                <w:lang w:val="es-ES"/>
                <w14:ligatures w14:val="standardContextual"/>
              </w:rPr>
              <w:t>PIBV (M$ en moneda 2025)</w:t>
            </w:r>
          </w:p>
          <w:p w14:paraId="6BBFEF19" w14:textId="2705A827" w:rsidR="00F57183" w:rsidRDefault="00943293" w:rsidP="00F57183">
            <w:pPr>
              <w:keepNext/>
              <w:spacing w:after="200" w:line="276" w:lineRule="auto"/>
              <w:jc w:val="center"/>
              <w:rPr>
                <w:rFonts w:ascii="Arial" w:eastAsia="Arial" w:hAnsi="Arial" w:cs="Arial"/>
              </w:rPr>
            </w:pPr>
            <w:r>
              <w:rPr>
                <w:noProof/>
                <w:lang w:eastAsia="es-CL"/>
              </w:rPr>
              <w:drawing>
                <wp:inline distT="0" distB="0" distL="0" distR="0" wp14:anchorId="7BA9066D" wp14:editId="5CB74BF0">
                  <wp:extent cx="4486275" cy="24765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1B4442" w14:textId="77777777" w:rsidR="00F57183" w:rsidRPr="00F57183" w:rsidRDefault="00F57183" w:rsidP="00F57183">
            <w:pPr>
              <w:spacing w:line="276" w:lineRule="auto"/>
              <w:jc w:val="center"/>
              <w:rPr>
                <w:rFonts w:asciiTheme="majorHAnsi" w:hAnsiTheme="majorHAnsi" w:cstheme="majorHAnsi"/>
                <w:i/>
                <w:iCs/>
                <w:sz w:val="14"/>
                <w:szCs w:val="14"/>
                <w:lang w:val="es-ES"/>
              </w:rPr>
            </w:pPr>
            <w:r w:rsidRPr="00F57183">
              <w:rPr>
                <w:rFonts w:asciiTheme="majorHAnsi" w:hAnsiTheme="majorHAnsi" w:cstheme="majorHAnsi"/>
                <w:i/>
                <w:iCs/>
                <w:sz w:val="14"/>
                <w:szCs w:val="14"/>
                <w:lang w:val="es-ES"/>
              </w:rPr>
              <w:t>Fuente: DGOP</w:t>
            </w:r>
          </w:p>
          <w:p w14:paraId="25B115F2" w14:textId="226D4128" w:rsidR="00204F24" w:rsidRDefault="1EAFC96B" w:rsidP="0056757F">
            <w:pPr>
              <w:spacing w:before="240" w:after="240"/>
              <w:rPr>
                <w:rFonts w:ascii="Arial" w:eastAsia="Arial" w:hAnsi="Arial" w:cs="Arial"/>
              </w:rPr>
            </w:pPr>
            <w:r w:rsidRPr="5176D4DE">
              <w:rPr>
                <w:rFonts w:ascii="Arial" w:eastAsia="Arial" w:hAnsi="Arial" w:cs="Arial"/>
              </w:rPr>
              <w:t>En este marco general, la Región de La Araucanía concentró una proporción significativa de la inversión pública. El presupuesto MOP en la región aumentó 26% respecto al promedio 2018–2021, focalizándose en comunas con mayores niveles de ruralidad y aislamiento. Este incremento permitió fortalecer la cobertura de obras de conectividad y agua potable rural</w:t>
            </w:r>
            <w:r w:rsidR="0D784DA1" w:rsidRPr="5176D4DE">
              <w:rPr>
                <w:rFonts w:ascii="Arial" w:eastAsia="Arial" w:hAnsi="Arial" w:cs="Arial"/>
              </w:rPr>
              <w:t>.</w:t>
            </w:r>
            <w:r w:rsidR="002E669A">
              <w:rPr>
                <w:rFonts w:ascii="Arial" w:eastAsia="Arial" w:hAnsi="Arial" w:cs="Arial"/>
              </w:rPr>
              <w:t xml:space="preserve"> </w:t>
            </w:r>
          </w:p>
          <w:p w14:paraId="40DA8896" w14:textId="5749C35C" w:rsidR="002E669A" w:rsidRDefault="00204F24" w:rsidP="0056757F">
            <w:pPr>
              <w:spacing w:before="240" w:after="240"/>
              <w:rPr>
                <w:rFonts w:ascii="Arial" w:eastAsia="Arial" w:hAnsi="Arial" w:cs="Arial"/>
                <w:color w:val="000000" w:themeColor="text1"/>
              </w:rPr>
            </w:pPr>
            <w:r>
              <w:rPr>
                <w:rFonts w:ascii="Arial" w:eastAsia="Arial" w:hAnsi="Arial" w:cs="Arial"/>
              </w:rPr>
              <w:t>En paralelo</w:t>
            </w:r>
            <w:r w:rsidR="002E669A">
              <w:rPr>
                <w:rFonts w:ascii="Arial" w:eastAsia="Arial" w:hAnsi="Arial" w:cs="Arial"/>
              </w:rPr>
              <w:t>, l</w:t>
            </w:r>
            <w:r w:rsidR="002E669A">
              <w:rPr>
                <w:rFonts w:ascii="Arial" w:eastAsia="Arial" w:hAnsi="Arial" w:cs="Arial"/>
                <w:color w:val="000000" w:themeColor="text1"/>
              </w:rPr>
              <w:t xml:space="preserve">os episodios de violencia rural bajaron a fines de 2024 en </w:t>
            </w:r>
            <w:r w:rsidR="00FE5BDC">
              <w:rPr>
                <w:rFonts w:ascii="Arial" w:eastAsia="Arial" w:hAnsi="Arial" w:cs="Arial"/>
                <w:color w:val="000000" w:themeColor="text1"/>
              </w:rPr>
              <w:t>70</w:t>
            </w:r>
            <w:r w:rsidR="002E669A">
              <w:rPr>
                <w:rFonts w:ascii="Arial" w:eastAsia="Arial" w:hAnsi="Arial" w:cs="Arial"/>
                <w:color w:val="000000" w:themeColor="text1"/>
              </w:rPr>
              <w:t>%</w:t>
            </w:r>
            <w:r w:rsidR="00FE5BDC">
              <w:rPr>
                <w:rFonts w:ascii="Arial" w:eastAsia="Arial" w:hAnsi="Arial" w:cs="Arial"/>
                <w:color w:val="000000" w:themeColor="text1"/>
              </w:rPr>
              <w:t xml:space="preserve"> respecto a 2021,</w:t>
            </w:r>
            <w:r w:rsidR="002E669A">
              <w:rPr>
                <w:rFonts w:ascii="Arial" w:eastAsia="Arial" w:hAnsi="Arial" w:cs="Arial"/>
                <w:color w:val="000000" w:themeColor="text1"/>
              </w:rPr>
              <w:t xml:space="preserve"> llegando a </w:t>
            </w:r>
            <w:r>
              <w:rPr>
                <w:rFonts w:ascii="Arial" w:eastAsia="Arial" w:hAnsi="Arial" w:cs="Arial"/>
                <w:color w:val="000000" w:themeColor="text1"/>
              </w:rPr>
              <w:t xml:space="preserve">501 </w:t>
            </w:r>
            <w:r w:rsidR="002E669A">
              <w:rPr>
                <w:rFonts w:ascii="Arial" w:eastAsia="Arial" w:hAnsi="Arial" w:cs="Arial"/>
                <w:color w:val="000000" w:themeColor="text1"/>
              </w:rPr>
              <w:t xml:space="preserve">eventos, </w:t>
            </w:r>
            <w:r w:rsidR="00FE5BDC">
              <w:rPr>
                <w:rFonts w:ascii="Arial" w:eastAsia="Arial" w:hAnsi="Arial" w:cs="Arial"/>
                <w:color w:val="000000" w:themeColor="text1"/>
              </w:rPr>
              <w:t xml:space="preserve">mientras que en 2025 se registraron 359 eventos, </w:t>
            </w:r>
            <w:r w:rsidR="00F4090A">
              <w:rPr>
                <w:rFonts w:ascii="Arial" w:eastAsia="Arial" w:hAnsi="Arial" w:cs="Arial"/>
                <w:color w:val="000000" w:themeColor="text1"/>
              </w:rPr>
              <w:t>sumando una disminución de 79% respecto a 2021</w:t>
            </w:r>
            <w:r w:rsidR="00E55E56">
              <w:rPr>
                <w:rFonts w:ascii="Arial" w:eastAsia="Arial" w:hAnsi="Arial" w:cs="Arial"/>
                <w:color w:val="000000" w:themeColor="text1"/>
              </w:rPr>
              <w:t xml:space="preserve">. Esos resultados, se lograron </w:t>
            </w:r>
            <w:r w:rsidR="002E669A">
              <w:rPr>
                <w:rFonts w:ascii="Arial" w:eastAsia="Arial" w:hAnsi="Arial" w:cs="Arial"/>
                <w:color w:val="000000" w:themeColor="text1"/>
              </w:rPr>
              <w:t xml:space="preserve">en conjunto con un aumento </w:t>
            </w:r>
            <w:r w:rsidR="00E55E56">
              <w:rPr>
                <w:rFonts w:ascii="Arial" w:eastAsia="Arial" w:hAnsi="Arial" w:cs="Arial"/>
                <w:color w:val="000000" w:themeColor="text1"/>
              </w:rPr>
              <w:t>en el número de proponentes por licitación; en el caso de La Araucanía ha sido de</w:t>
            </w:r>
            <w:r w:rsidR="0056757F">
              <w:rPr>
                <w:rFonts w:ascii="Arial" w:eastAsia="Arial" w:hAnsi="Arial" w:cs="Arial"/>
                <w:color w:val="000000" w:themeColor="text1"/>
              </w:rPr>
              <w:t xml:space="preserve"> 2,6 veces </w:t>
            </w:r>
            <w:r w:rsidR="00E55E56">
              <w:rPr>
                <w:rFonts w:ascii="Arial" w:eastAsia="Arial" w:hAnsi="Arial" w:cs="Arial"/>
                <w:color w:val="000000" w:themeColor="text1"/>
              </w:rPr>
              <w:t>respecto al año 2022, y en Los Ríos</w:t>
            </w:r>
            <w:r w:rsidR="0056757F">
              <w:rPr>
                <w:rFonts w:ascii="Arial" w:eastAsia="Arial" w:hAnsi="Arial" w:cs="Arial"/>
                <w:color w:val="000000" w:themeColor="text1"/>
              </w:rPr>
              <w:t xml:space="preserve"> 1,9</w:t>
            </w:r>
            <w:r w:rsidR="00E55E56">
              <w:rPr>
                <w:rFonts w:ascii="Arial" w:eastAsia="Arial" w:hAnsi="Arial" w:cs="Arial"/>
                <w:color w:val="000000" w:themeColor="text1"/>
              </w:rPr>
              <w:t xml:space="preserve"> veces</w:t>
            </w:r>
            <w:r w:rsidR="0056757F">
              <w:rPr>
                <w:rFonts w:ascii="Arial" w:eastAsia="Arial" w:hAnsi="Arial" w:cs="Arial"/>
                <w:color w:val="000000" w:themeColor="text1"/>
              </w:rPr>
              <w:t xml:space="preserve">. Asimismo, </w:t>
            </w:r>
            <w:r w:rsidR="002E669A" w:rsidRPr="5176D4DE">
              <w:rPr>
                <w:rFonts w:ascii="Arial" w:eastAsia="Arial" w:hAnsi="Arial" w:cs="Arial"/>
                <w:color w:val="000000" w:themeColor="text1"/>
              </w:rPr>
              <w:t xml:space="preserve">licitaciones </w:t>
            </w:r>
            <w:r w:rsidR="0056757F">
              <w:rPr>
                <w:rFonts w:ascii="Arial" w:eastAsia="Arial" w:hAnsi="Arial" w:cs="Arial"/>
                <w:color w:val="000000" w:themeColor="text1"/>
              </w:rPr>
              <w:t xml:space="preserve">que </w:t>
            </w:r>
            <w:r w:rsidR="002E669A" w:rsidRPr="5176D4DE">
              <w:rPr>
                <w:rFonts w:ascii="Arial" w:eastAsia="Arial" w:hAnsi="Arial" w:cs="Arial"/>
                <w:color w:val="000000" w:themeColor="text1"/>
              </w:rPr>
              <w:t>queda</w:t>
            </w:r>
            <w:r w:rsidR="0056757F">
              <w:rPr>
                <w:rFonts w:ascii="Arial" w:eastAsia="Arial" w:hAnsi="Arial" w:cs="Arial"/>
                <w:color w:val="000000" w:themeColor="text1"/>
              </w:rPr>
              <w:t xml:space="preserve">n </w:t>
            </w:r>
            <w:r w:rsidR="002E669A" w:rsidRPr="5176D4DE">
              <w:rPr>
                <w:rFonts w:ascii="Arial" w:eastAsia="Arial" w:hAnsi="Arial" w:cs="Arial"/>
                <w:color w:val="000000" w:themeColor="text1"/>
              </w:rPr>
              <w:t xml:space="preserve">desiertas por falta de proponentes o desestimadas </w:t>
            </w:r>
            <w:r w:rsidR="0056757F">
              <w:rPr>
                <w:rFonts w:ascii="Arial" w:eastAsia="Arial" w:hAnsi="Arial" w:cs="Arial"/>
                <w:color w:val="000000" w:themeColor="text1"/>
              </w:rPr>
              <w:t>se han reducido en más de 2,6 veces, en un rango</w:t>
            </w:r>
            <w:r w:rsidR="00E55E56">
              <w:rPr>
                <w:rFonts w:ascii="Arial" w:eastAsia="Arial" w:hAnsi="Arial" w:cs="Arial"/>
                <w:color w:val="000000" w:themeColor="text1"/>
              </w:rPr>
              <w:t xml:space="preserve"> que va </w:t>
            </w:r>
            <w:r w:rsidR="009E1FA3">
              <w:rPr>
                <w:rFonts w:ascii="Arial" w:eastAsia="Arial" w:hAnsi="Arial" w:cs="Arial"/>
                <w:color w:val="000000" w:themeColor="text1"/>
              </w:rPr>
              <w:t xml:space="preserve">entre </w:t>
            </w:r>
            <w:r w:rsidR="0056757F">
              <w:rPr>
                <w:rFonts w:ascii="Arial" w:eastAsia="Arial" w:hAnsi="Arial" w:cs="Arial"/>
                <w:color w:val="000000" w:themeColor="text1"/>
              </w:rPr>
              <w:t>4% (Los Ríos) y 11% (La Araucanía)</w:t>
            </w:r>
            <w:r w:rsidR="002E669A" w:rsidRPr="5176D4DE">
              <w:rPr>
                <w:rFonts w:ascii="Arial" w:eastAsia="Arial" w:hAnsi="Arial" w:cs="Arial"/>
                <w:color w:val="000000" w:themeColor="text1"/>
              </w:rPr>
              <w:t>.</w:t>
            </w:r>
          </w:p>
          <w:p w14:paraId="60F81820" w14:textId="539E4862" w:rsidR="009E1FA3" w:rsidRDefault="009E1FA3" w:rsidP="00BD46CE">
            <w:pPr>
              <w:keepNext/>
              <w:spacing w:after="200" w:line="276" w:lineRule="auto"/>
              <w:jc w:val="center"/>
              <w:rPr>
                <w:rFonts w:ascii="Arial" w:eastAsia="Arial" w:hAnsi="Arial" w:cs="Arial"/>
                <w:color w:val="000000" w:themeColor="text1"/>
              </w:rPr>
            </w:pPr>
            <w:r>
              <w:rPr>
                <w:rFonts w:asciiTheme="majorHAnsi" w:hAnsiTheme="majorHAnsi" w:cstheme="majorHAnsi"/>
                <w:b/>
                <w:bCs/>
                <w:i/>
                <w:iCs/>
                <w:kern w:val="2"/>
                <w:sz w:val="16"/>
                <w:szCs w:val="16"/>
                <w:lang w:val="es-ES"/>
                <w14:ligatures w14:val="standardContextual"/>
              </w:rPr>
              <w:t>Gráfico</w:t>
            </w:r>
            <w:r w:rsidRPr="009E1FA3">
              <w:rPr>
                <w:rFonts w:asciiTheme="majorHAnsi" w:hAnsiTheme="majorHAnsi" w:cstheme="majorHAnsi"/>
                <w:b/>
                <w:bCs/>
                <w:i/>
                <w:iCs/>
                <w:kern w:val="2"/>
                <w:sz w:val="16"/>
                <w:szCs w:val="16"/>
                <w:lang w:val="es-ES"/>
                <w14:ligatures w14:val="standardContextual"/>
              </w:rPr>
              <w:t>: P</w:t>
            </w:r>
            <w:r>
              <w:rPr>
                <w:rFonts w:asciiTheme="majorHAnsi" w:hAnsiTheme="majorHAnsi" w:cstheme="majorHAnsi"/>
                <w:b/>
                <w:bCs/>
                <w:i/>
                <w:iCs/>
                <w:kern w:val="2"/>
                <w:sz w:val="16"/>
                <w:szCs w:val="16"/>
                <w:lang w:val="es-ES"/>
                <w14:ligatures w14:val="standardContextual"/>
              </w:rPr>
              <w:t>orcentaje de Licitaciones que llegaron a término</w:t>
            </w:r>
            <w:r w:rsidRPr="009E1FA3">
              <w:rPr>
                <w:rFonts w:asciiTheme="majorHAnsi" w:hAnsiTheme="majorHAnsi" w:cstheme="majorHAnsi"/>
                <w:b/>
                <w:bCs/>
                <w:i/>
                <w:iCs/>
                <w:kern w:val="2"/>
                <w:sz w:val="16"/>
                <w:szCs w:val="16"/>
                <w:lang w:val="es-ES"/>
                <w14:ligatures w14:val="standardContextual"/>
              </w:rPr>
              <w:t xml:space="preserve">                                                                                                                                                                                    </w:t>
            </w:r>
          </w:p>
          <w:p w14:paraId="07A2D036" w14:textId="0C1A5434" w:rsidR="0056757F" w:rsidRDefault="0056757F" w:rsidP="00BD46CE">
            <w:pPr>
              <w:spacing w:before="240" w:after="240"/>
              <w:jc w:val="center"/>
              <w:rPr>
                <w:rFonts w:ascii="Arial" w:eastAsia="Arial" w:hAnsi="Arial" w:cs="Arial"/>
              </w:rPr>
            </w:pPr>
            <w:r w:rsidRPr="00C12458">
              <w:rPr>
                <w:noProof/>
                <w:lang w:eastAsia="es-CL"/>
              </w:rPr>
              <w:drawing>
                <wp:inline distT="0" distB="0" distL="0" distR="0" wp14:anchorId="691D0549" wp14:editId="7C9664DA">
                  <wp:extent cx="4927600" cy="2051050"/>
                  <wp:effectExtent l="0" t="0" r="6350" b="6350"/>
                  <wp:docPr id="1400231756" name="Gráfico 1">
                    <a:extLst xmlns:a="http://schemas.openxmlformats.org/drawingml/2006/main">
                      <a:ext uri="{FF2B5EF4-FFF2-40B4-BE49-F238E27FC236}">
                        <a16:creationId xmlns:a16="http://schemas.microsoft.com/office/drawing/2014/main" id="{6301A895-237F-11F8-8866-682225683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EC201E" w14:textId="5A47BD94" w:rsidR="009E1FA3" w:rsidRPr="009E1FA3" w:rsidRDefault="009E1FA3" w:rsidP="009E1FA3">
            <w:pPr>
              <w:spacing w:line="276" w:lineRule="auto"/>
              <w:jc w:val="center"/>
            </w:pPr>
            <w:r w:rsidRPr="009E1FA3">
              <w:rPr>
                <w:rFonts w:asciiTheme="majorHAnsi" w:hAnsiTheme="majorHAnsi" w:cstheme="majorHAnsi"/>
                <w:i/>
                <w:iCs/>
                <w:sz w:val="14"/>
                <w:szCs w:val="14"/>
                <w:lang w:val="es-ES"/>
              </w:rPr>
              <w:t xml:space="preserve">Fuente: </w:t>
            </w:r>
            <w:r>
              <w:rPr>
                <w:rFonts w:asciiTheme="majorHAnsi" w:hAnsiTheme="majorHAnsi" w:cstheme="majorHAnsi"/>
                <w:i/>
                <w:iCs/>
                <w:sz w:val="14"/>
                <w:szCs w:val="14"/>
                <w:lang w:val="es-ES"/>
              </w:rPr>
              <w:t>Subsecretaría de Obras Públicas</w:t>
            </w:r>
          </w:p>
          <w:p w14:paraId="31FAA09E" w14:textId="6380C661" w:rsidR="12C4E2E6" w:rsidRDefault="09DB259B" w:rsidP="5176D4DE">
            <w:pPr>
              <w:spacing w:before="240" w:after="240"/>
              <w:rPr>
                <w:rFonts w:ascii="Arial" w:eastAsia="Arial" w:hAnsi="Arial" w:cs="Arial"/>
                <w:highlight w:val="green"/>
              </w:rPr>
            </w:pPr>
            <w:r w:rsidRPr="5176D4DE">
              <w:rPr>
                <w:rFonts w:ascii="Arial" w:eastAsia="Arial" w:hAnsi="Arial" w:cs="Arial"/>
              </w:rPr>
              <w:lastRenderedPageBreak/>
              <w:t xml:space="preserve">A nivel macrozonal, la estrategia </w:t>
            </w:r>
            <w:r w:rsidR="0AFE15F9" w:rsidRPr="5176D4DE">
              <w:rPr>
                <w:rFonts w:ascii="Arial" w:eastAsia="Arial" w:hAnsi="Arial" w:cs="Arial"/>
              </w:rPr>
              <w:t xml:space="preserve">del PIBV </w:t>
            </w:r>
            <w:r w:rsidRPr="5176D4DE">
              <w:rPr>
                <w:rFonts w:ascii="Arial" w:eastAsia="Arial" w:hAnsi="Arial" w:cs="Arial"/>
              </w:rPr>
              <w:t xml:space="preserve">priorizó la conservación y mejoramiento de caminos rurales e indígenas. </w:t>
            </w:r>
            <w:r w:rsidRPr="0019307C">
              <w:rPr>
                <w:rFonts w:ascii="Arial" w:eastAsia="Arial" w:hAnsi="Arial" w:cs="Arial"/>
              </w:rPr>
              <w:t xml:space="preserve">Entre 2022 y 2025 </w:t>
            </w:r>
            <w:r w:rsidR="00E55E56">
              <w:rPr>
                <w:rFonts w:ascii="Arial" w:eastAsia="Arial" w:hAnsi="Arial" w:cs="Arial"/>
              </w:rPr>
              <w:t xml:space="preserve">se </w:t>
            </w:r>
            <w:r w:rsidR="6FA193F3" w:rsidRPr="0019307C">
              <w:rPr>
                <w:rFonts w:ascii="Arial" w:eastAsia="Arial" w:hAnsi="Arial" w:cs="Arial"/>
              </w:rPr>
              <w:t>han ejecutado</w:t>
            </w:r>
            <w:r w:rsidRPr="0019307C">
              <w:rPr>
                <w:rFonts w:ascii="Arial" w:eastAsia="Arial" w:hAnsi="Arial" w:cs="Arial"/>
              </w:rPr>
              <w:t xml:space="preserve"> </w:t>
            </w:r>
            <w:r w:rsidR="00943293">
              <w:rPr>
                <w:rFonts w:ascii="Arial" w:eastAsia="Arial" w:hAnsi="Arial" w:cs="Arial"/>
              </w:rPr>
              <w:t>2.239</w:t>
            </w:r>
            <w:r w:rsidRPr="0019307C">
              <w:rPr>
                <w:rFonts w:ascii="Arial" w:eastAsia="Arial" w:hAnsi="Arial" w:cs="Arial"/>
              </w:rPr>
              <w:t xml:space="preserve"> km en La Araucanía y </w:t>
            </w:r>
            <w:r w:rsidR="00943293">
              <w:rPr>
                <w:rFonts w:ascii="Arial" w:eastAsia="Arial" w:hAnsi="Arial" w:cs="Arial"/>
              </w:rPr>
              <w:t>1.557</w:t>
            </w:r>
            <w:r w:rsidRPr="00BD46CE">
              <w:rPr>
                <w:rFonts w:ascii="Arial" w:eastAsia="Arial" w:hAnsi="Arial" w:cs="Arial"/>
              </w:rPr>
              <w:t xml:space="preserve"> km en las regiones del Biobío, Los Ríos y Los Lagos. Estas</w:t>
            </w:r>
            <w:r w:rsidRPr="5176D4DE">
              <w:rPr>
                <w:rFonts w:ascii="Arial" w:eastAsia="Arial" w:hAnsi="Arial" w:cs="Arial"/>
              </w:rPr>
              <w:t xml:space="preserve"> obras beneficiaron a más de</w:t>
            </w:r>
            <w:r w:rsidR="74CADC69" w:rsidRPr="5176D4DE">
              <w:rPr>
                <w:rFonts w:ascii="Arial" w:eastAsia="Arial" w:hAnsi="Arial" w:cs="Arial"/>
              </w:rPr>
              <w:t xml:space="preserve"> </w:t>
            </w:r>
            <w:r w:rsidR="03422009" w:rsidRPr="5176D4DE">
              <w:rPr>
                <w:rFonts w:ascii="Arial" w:eastAsia="Arial" w:hAnsi="Arial" w:cs="Arial"/>
              </w:rPr>
              <w:t>146.519</w:t>
            </w:r>
            <w:r w:rsidRPr="5176D4DE">
              <w:rPr>
                <w:rFonts w:ascii="Arial" w:eastAsia="Arial" w:hAnsi="Arial" w:cs="Arial"/>
              </w:rPr>
              <w:t xml:space="preserve"> familias rurales, asegurando conectividad permanente durante todo el año. Entre </w:t>
            </w:r>
            <w:r w:rsidR="26032A12" w:rsidRPr="5176D4DE">
              <w:rPr>
                <w:rFonts w:ascii="Arial" w:eastAsia="Arial" w:hAnsi="Arial" w:cs="Arial"/>
              </w:rPr>
              <w:t xml:space="preserve">otras </w:t>
            </w:r>
            <w:r w:rsidR="73D0C412" w:rsidRPr="5176D4DE">
              <w:rPr>
                <w:rFonts w:ascii="Arial" w:eastAsia="Arial" w:hAnsi="Arial" w:cs="Arial"/>
              </w:rPr>
              <w:t xml:space="preserve">obras </w:t>
            </w:r>
            <w:r w:rsidR="0F75E54D" w:rsidRPr="5176D4DE">
              <w:rPr>
                <w:rFonts w:ascii="Arial" w:eastAsia="Arial" w:hAnsi="Arial" w:cs="Arial"/>
              </w:rPr>
              <w:t>significativ</w:t>
            </w:r>
            <w:r w:rsidR="5DC186AF" w:rsidRPr="5176D4DE">
              <w:rPr>
                <w:rFonts w:ascii="Arial" w:eastAsia="Arial" w:hAnsi="Arial" w:cs="Arial"/>
              </w:rPr>
              <w:t xml:space="preserve">as </w:t>
            </w:r>
            <w:r w:rsidRPr="5176D4DE">
              <w:rPr>
                <w:rFonts w:ascii="Arial" w:eastAsia="Arial" w:hAnsi="Arial" w:cs="Arial"/>
              </w:rPr>
              <w:t>se cuentan el Puente Chichintawe (Alto Biobío) y el Puente Didaico (Traiguén–Lumaco), que mejoraron la movilidad y el acceso a servicios básicos y actividades productivas</w:t>
            </w:r>
            <w:r w:rsidR="73DF58C5" w:rsidRPr="5176D4DE">
              <w:rPr>
                <w:rFonts w:ascii="Arial" w:eastAsia="Arial" w:hAnsi="Arial" w:cs="Arial"/>
              </w:rPr>
              <w:t xml:space="preserve"> de las comunidades beneficiadas</w:t>
            </w:r>
            <w:r w:rsidRPr="5176D4DE">
              <w:rPr>
                <w:rFonts w:ascii="Arial" w:eastAsia="Arial" w:hAnsi="Arial" w:cs="Arial"/>
              </w:rPr>
              <w:t xml:space="preserve">. Además, se implementaron </w:t>
            </w:r>
            <w:r w:rsidR="65EE955C" w:rsidRPr="5176D4DE">
              <w:rPr>
                <w:rFonts w:ascii="Arial" w:eastAsia="Arial" w:hAnsi="Arial" w:cs="Arial"/>
              </w:rPr>
              <w:t>inspectorías especial</w:t>
            </w:r>
            <w:r w:rsidRPr="5176D4DE">
              <w:rPr>
                <w:rFonts w:ascii="Arial" w:eastAsia="Arial" w:hAnsi="Arial" w:cs="Arial"/>
              </w:rPr>
              <w:t xml:space="preserve">es </w:t>
            </w:r>
            <w:r w:rsidR="647BF223" w:rsidRPr="5176D4DE">
              <w:rPr>
                <w:rFonts w:ascii="Arial" w:eastAsia="Arial" w:hAnsi="Arial" w:cs="Arial"/>
              </w:rPr>
              <w:t xml:space="preserve">con nuevas cuadrillas de </w:t>
            </w:r>
            <w:r w:rsidRPr="5176D4DE">
              <w:rPr>
                <w:rFonts w:ascii="Arial" w:eastAsia="Arial" w:hAnsi="Arial" w:cs="Arial"/>
              </w:rPr>
              <w:t xml:space="preserve">administración directa </w:t>
            </w:r>
            <w:r w:rsidR="0ECC93D6" w:rsidRPr="5176D4DE">
              <w:rPr>
                <w:rFonts w:ascii="Arial" w:eastAsia="Arial" w:hAnsi="Arial" w:cs="Arial"/>
              </w:rPr>
              <w:t xml:space="preserve">de Vialidad </w:t>
            </w:r>
            <w:r w:rsidRPr="5176D4DE">
              <w:rPr>
                <w:rFonts w:ascii="Arial" w:eastAsia="Arial" w:hAnsi="Arial" w:cs="Arial"/>
              </w:rPr>
              <w:t xml:space="preserve">en </w:t>
            </w:r>
            <w:r w:rsidR="21506666" w:rsidRPr="5176D4DE">
              <w:rPr>
                <w:rFonts w:ascii="Arial" w:eastAsia="Arial" w:hAnsi="Arial" w:cs="Arial"/>
              </w:rPr>
              <w:t xml:space="preserve">las Provincias de </w:t>
            </w:r>
            <w:r w:rsidRPr="5176D4DE">
              <w:rPr>
                <w:rFonts w:ascii="Arial" w:eastAsia="Arial" w:hAnsi="Arial" w:cs="Arial"/>
              </w:rPr>
              <w:t>Arauco y Malleco</w:t>
            </w:r>
            <w:r w:rsidR="4F93A548" w:rsidRPr="5176D4DE">
              <w:rPr>
                <w:rFonts w:ascii="Arial" w:eastAsia="Arial" w:hAnsi="Arial" w:cs="Arial"/>
              </w:rPr>
              <w:t xml:space="preserve"> (</w:t>
            </w:r>
            <w:r w:rsidR="2BA6F58A" w:rsidRPr="5176D4DE">
              <w:rPr>
                <w:rFonts w:ascii="Arial" w:eastAsia="Arial" w:hAnsi="Arial" w:cs="Arial"/>
              </w:rPr>
              <w:t>en Tirúa y Victoria respectivamente</w:t>
            </w:r>
            <w:r w:rsidR="16D74C1C" w:rsidRPr="5176D4DE">
              <w:rPr>
                <w:rFonts w:ascii="Arial" w:eastAsia="Arial" w:hAnsi="Arial" w:cs="Arial"/>
              </w:rPr>
              <w:t>)</w:t>
            </w:r>
            <w:r w:rsidR="27FBFF06" w:rsidRPr="5176D4DE">
              <w:rPr>
                <w:rFonts w:ascii="Arial" w:eastAsia="Arial" w:hAnsi="Arial" w:cs="Arial"/>
              </w:rPr>
              <w:t xml:space="preserve">. Estas nuevas capacidades consideran </w:t>
            </w:r>
            <w:r w:rsidR="5C73A0BE" w:rsidRPr="5176D4DE">
              <w:rPr>
                <w:rFonts w:ascii="Arial" w:eastAsia="Arial" w:hAnsi="Arial" w:cs="Arial"/>
              </w:rPr>
              <w:t>nuevas máquinas</w:t>
            </w:r>
            <w:r w:rsidR="009E1FA3">
              <w:rPr>
                <w:rFonts w:ascii="Arial" w:eastAsia="Arial" w:hAnsi="Arial" w:cs="Arial"/>
              </w:rPr>
              <w:t xml:space="preserve">, </w:t>
            </w:r>
            <w:r w:rsidR="5C73A0BE" w:rsidRPr="5176D4DE">
              <w:rPr>
                <w:rFonts w:ascii="Arial" w:eastAsia="Arial" w:hAnsi="Arial" w:cs="Arial"/>
              </w:rPr>
              <w:t>equip</w:t>
            </w:r>
            <w:r w:rsidR="14254937" w:rsidRPr="5176D4DE">
              <w:rPr>
                <w:rFonts w:ascii="Arial" w:eastAsia="Arial" w:hAnsi="Arial" w:cs="Arial"/>
              </w:rPr>
              <w:t>os</w:t>
            </w:r>
            <w:r w:rsidR="05F3E559" w:rsidRPr="5176D4DE">
              <w:rPr>
                <w:rFonts w:ascii="Arial" w:eastAsia="Arial" w:hAnsi="Arial" w:cs="Arial"/>
              </w:rPr>
              <w:t xml:space="preserve"> </w:t>
            </w:r>
            <w:r w:rsidR="009E1FA3">
              <w:rPr>
                <w:rFonts w:ascii="Arial" w:eastAsia="Arial" w:hAnsi="Arial" w:cs="Arial"/>
              </w:rPr>
              <w:t xml:space="preserve">e instrumentos </w:t>
            </w:r>
            <w:r w:rsidR="5C73A0BE" w:rsidRPr="5176D4DE">
              <w:rPr>
                <w:rFonts w:ascii="Arial" w:eastAsia="Arial" w:hAnsi="Arial" w:cs="Arial"/>
              </w:rPr>
              <w:t xml:space="preserve">en ambas provincias, </w:t>
            </w:r>
            <w:r w:rsidRPr="5176D4DE">
              <w:rPr>
                <w:rFonts w:ascii="Arial" w:eastAsia="Arial" w:hAnsi="Arial" w:cs="Arial"/>
              </w:rPr>
              <w:t xml:space="preserve">lo que fortaleció la conservación de más de </w:t>
            </w:r>
            <w:r w:rsidR="006C7BE0">
              <w:rPr>
                <w:rFonts w:ascii="Arial" w:eastAsia="Arial" w:hAnsi="Arial" w:cs="Arial"/>
              </w:rPr>
              <w:t>200 k</w:t>
            </w:r>
            <w:r w:rsidR="3985D32F" w:rsidRPr="5176D4DE">
              <w:rPr>
                <w:rFonts w:ascii="Arial" w:eastAsia="Arial" w:hAnsi="Arial" w:cs="Arial"/>
              </w:rPr>
              <w:t>m</w:t>
            </w:r>
            <w:r w:rsidRPr="5176D4DE">
              <w:rPr>
                <w:rFonts w:ascii="Arial" w:eastAsia="Arial" w:hAnsi="Arial" w:cs="Arial"/>
              </w:rPr>
              <w:t xml:space="preserve"> de caminos </w:t>
            </w:r>
            <w:r w:rsidR="201D23B8" w:rsidRPr="5176D4DE">
              <w:rPr>
                <w:rFonts w:ascii="Arial" w:eastAsia="Arial" w:hAnsi="Arial" w:cs="Arial"/>
              </w:rPr>
              <w:t>de la red vial</w:t>
            </w:r>
            <w:r w:rsidR="3D31D7D4" w:rsidRPr="5176D4DE">
              <w:rPr>
                <w:rFonts w:ascii="Arial" w:eastAsia="Arial" w:hAnsi="Arial" w:cs="Arial"/>
              </w:rPr>
              <w:t>,</w:t>
            </w:r>
            <w:r w:rsidRPr="5176D4DE">
              <w:rPr>
                <w:rFonts w:ascii="Arial" w:eastAsia="Arial" w:hAnsi="Arial" w:cs="Arial"/>
              </w:rPr>
              <w:t xml:space="preserve"> aumentó la capacidad operativa del MOP ante emergencias</w:t>
            </w:r>
            <w:r w:rsidR="281F24A8" w:rsidRPr="5176D4DE">
              <w:rPr>
                <w:rFonts w:ascii="Arial" w:eastAsia="Arial" w:hAnsi="Arial" w:cs="Arial"/>
              </w:rPr>
              <w:t xml:space="preserve"> y </w:t>
            </w:r>
            <w:r w:rsidR="033D31A8" w:rsidRPr="5176D4DE">
              <w:rPr>
                <w:rFonts w:ascii="Arial" w:eastAsia="Arial" w:hAnsi="Arial" w:cs="Arial"/>
              </w:rPr>
              <w:t>permit</w:t>
            </w:r>
            <w:r w:rsidR="281F24A8" w:rsidRPr="5176D4DE">
              <w:rPr>
                <w:rFonts w:ascii="Arial" w:eastAsia="Arial" w:hAnsi="Arial" w:cs="Arial"/>
              </w:rPr>
              <w:t>e otorga</w:t>
            </w:r>
            <w:r w:rsidR="02BE1DDC" w:rsidRPr="5176D4DE">
              <w:rPr>
                <w:rFonts w:ascii="Arial" w:eastAsia="Arial" w:hAnsi="Arial" w:cs="Arial"/>
              </w:rPr>
              <w:t>r</w:t>
            </w:r>
            <w:r w:rsidR="281F24A8" w:rsidRPr="5176D4DE">
              <w:rPr>
                <w:rFonts w:ascii="Arial" w:eastAsia="Arial" w:hAnsi="Arial" w:cs="Arial"/>
              </w:rPr>
              <w:t xml:space="preserve"> una proyección operativa de mantenimiento a estos caminos rurales en el futuro</w:t>
            </w:r>
            <w:r w:rsidRPr="5176D4DE">
              <w:rPr>
                <w:rFonts w:ascii="Arial" w:eastAsia="Arial" w:hAnsi="Arial" w:cs="Arial"/>
              </w:rPr>
              <w:t>.</w:t>
            </w:r>
          </w:p>
          <w:p w14:paraId="3CD67014" w14:textId="630451D4" w:rsidR="12C4E2E6" w:rsidRDefault="09DB259B" w:rsidP="5176D4DE">
            <w:pPr>
              <w:spacing w:before="240" w:after="240"/>
              <w:rPr>
                <w:rFonts w:ascii="Arial" w:eastAsia="Arial" w:hAnsi="Arial" w:cs="Arial"/>
              </w:rPr>
            </w:pPr>
            <w:r w:rsidRPr="5176D4DE">
              <w:rPr>
                <w:rFonts w:ascii="Arial" w:eastAsia="Arial" w:hAnsi="Arial" w:cs="Arial"/>
              </w:rPr>
              <w:t xml:space="preserve">En materia de agua potable rural, la acción se orientó a reducir el déficit que afectaba al 44% de las viviendas rurales en 2022. </w:t>
            </w:r>
            <w:r w:rsidRPr="0019307C">
              <w:rPr>
                <w:rFonts w:ascii="Arial" w:eastAsia="Arial" w:hAnsi="Arial" w:cs="Arial"/>
              </w:rPr>
              <w:t xml:space="preserve">Entre 2022 y 2025 </w:t>
            </w:r>
            <w:r w:rsidR="005118F2">
              <w:rPr>
                <w:rFonts w:ascii="Arial" w:eastAsia="Arial" w:hAnsi="Arial" w:cs="Arial"/>
              </w:rPr>
              <w:t xml:space="preserve">invirtió en contratos </w:t>
            </w:r>
            <w:r w:rsidR="00CC1799">
              <w:rPr>
                <w:rFonts w:ascii="Arial" w:eastAsia="Arial" w:hAnsi="Arial" w:cs="Arial"/>
              </w:rPr>
              <w:t xml:space="preserve">de obra </w:t>
            </w:r>
            <w:r w:rsidR="005118F2">
              <w:rPr>
                <w:rFonts w:ascii="Arial" w:eastAsia="Arial" w:hAnsi="Arial" w:cs="Arial"/>
              </w:rPr>
              <w:t>asociados</w:t>
            </w:r>
            <w:r w:rsidR="00943293">
              <w:rPr>
                <w:rFonts w:ascii="Arial" w:eastAsia="Arial" w:hAnsi="Arial" w:cs="Arial"/>
              </w:rPr>
              <w:t xml:space="preserve"> </w:t>
            </w:r>
            <w:r w:rsidR="005118F2">
              <w:rPr>
                <w:rFonts w:ascii="Arial" w:eastAsia="Arial" w:hAnsi="Arial" w:cs="Arial"/>
              </w:rPr>
              <w:t xml:space="preserve">16.314 </w:t>
            </w:r>
            <w:r w:rsidR="1816854D" w:rsidRPr="00BD46CE">
              <w:rPr>
                <w:rFonts w:ascii="Arial" w:eastAsia="Arial" w:hAnsi="Arial" w:cs="Arial"/>
              </w:rPr>
              <w:t xml:space="preserve">arranques nuevos </w:t>
            </w:r>
            <w:r w:rsidR="7300E2C5" w:rsidRPr="00BD46CE">
              <w:rPr>
                <w:rFonts w:ascii="Arial" w:eastAsia="Arial" w:hAnsi="Arial" w:cs="Arial"/>
              </w:rPr>
              <w:t xml:space="preserve">en las </w:t>
            </w:r>
            <w:r w:rsidR="50F970FF" w:rsidRPr="00BD46CE">
              <w:rPr>
                <w:rFonts w:ascii="Arial" w:eastAsia="Arial" w:hAnsi="Arial" w:cs="Arial"/>
              </w:rPr>
              <w:t xml:space="preserve">cuatro </w:t>
            </w:r>
            <w:r w:rsidR="7300E2C5" w:rsidRPr="00BD46CE">
              <w:rPr>
                <w:rFonts w:ascii="Arial" w:eastAsia="Arial" w:hAnsi="Arial" w:cs="Arial"/>
              </w:rPr>
              <w:t>regiones</w:t>
            </w:r>
            <w:r w:rsidRPr="00BD46CE">
              <w:rPr>
                <w:rFonts w:ascii="Arial" w:eastAsia="Arial" w:hAnsi="Arial" w:cs="Arial"/>
              </w:rPr>
              <w:t>, beneficiando</w:t>
            </w:r>
            <w:r w:rsidRPr="5176D4DE">
              <w:rPr>
                <w:rFonts w:ascii="Arial" w:eastAsia="Arial" w:hAnsi="Arial" w:cs="Arial"/>
              </w:rPr>
              <w:t xml:space="preserve"> a más de </w:t>
            </w:r>
            <w:r w:rsidR="005118F2">
              <w:rPr>
                <w:rFonts w:ascii="Arial" w:eastAsia="Arial" w:hAnsi="Arial" w:cs="Arial"/>
              </w:rPr>
              <w:t>48.942</w:t>
            </w:r>
            <w:r w:rsidR="487BC228" w:rsidRPr="5176D4DE">
              <w:rPr>
                <w:rFonts w:ascii="Arial" w:eastAsia="Arial" w:hAnsi="Arial" w:cs="Arial"/>
              </w:rPr>
              <w:t xml:space="preserve"> </w:t>
            </w:r>
            <w:r w:rsidRPr="5176D4DE">
              <w:rPr>
                <w:rFonts w:ascii="Arial" w:eastAsia="Arial" w:hAnsi="Arial" w:cs="Arial"/>
              </w:rPr>
              <w:t xml:space="preserve">personas y </w:t>
            </w:r>
            <w:r w:rsidR="02913B2B" w:rsidRPr="5176D4DE">
              <w:rPr>
                <w:rFonts w:ascii="Arial" w:eastAsia="Arial" w:hAnsi="Arial" w:cs="Arial"/>
              </w:rPr>
              <w:t xml:space="preserve">reduciendo el déficit </w:t>
            </w:r>
            <w:r w:rsidRPr="5176D4DE">
              <w:rPr>
                <w:rFonts w:ascii="Arial" w:eastAsia="Arial" w:hAnsi="Arial" w:cs="Arial"/>
              </w:rPr>
              <w:t xml:space="preserve">de agua potable rural en </w:t>
            </w:r>
            <w:r w:rsidR="005118F2">
              <w:rPr>
                <w:rFonts w:ascii="Arial" w:eastAsia="Arial" w:hAnsi="Arial" w:cs="Arial"/>
              </w:rPr>
              <w:t>6,4</w:t>
            </w:r>
            <w:r w:rsidR="5D7B8BA0" w:rsidRPr="5176D4DE">
              <w:rPr>
                <w:rFonts w:ascii="Arial" w:eastAsia="Arial" w:hAnsi="Arial" w:cs="Arial"/>
              </w:rPr>
              <w:t>%</w:t>
            </w:r>
            <w:r w:rsidR="00E55E56">
              <w:rPr>
                <w:rFonts w:ascii="Arial" w:eastAsia="Arial" w:hAnsi="Arial" w:cs="Arial"/>
              </w:rPr>
              <w:t xml:space="preserve"> </w:t>
            </w:r>
            <w:r w:rsidRPr="5176D4DE">
              <w:rPr>
                <w:rFonts w:ascii="Arial" w:eastAsia="Arial" w:hAnsi="Arial" w:cs="Arial"/>
              </w:rPr>
              <w:t xml:space="preserve">respecto de 2022. </w:t>
            </w:r>
          </w:p>
          <w:p w14:paraId="6B0DBE2B" w14:textId="0A64B545" w:rsidR="12C4E2E6" w:rsidRDefault="09DB259B" w:rsidP="4742C33E">
            <w:pPr>
              <w:spacing w:before="240" w:after="240"/>
              <w:rPr>
                <w:rFonts w:ascii="Arial" w:eastAsia="Arial" w:hAnsi="Arial" w:cs="Arial"/>
              </w:rPr>
            </w:pPr>
            <w:r w:rsidRPr="5176D4DE">
              <w:rPr>
                <w:rFonts w:ascii="Arial" w:eastAsia="Arial" w:hAnsi="Arial" w:cs="Arial"/>
              </w:rPr>
              <w:t xml:space="preserve">Para reforzar la planificación técnica, </w:t>
            </w:r>
            <w:r w:rsidR="4740C8AD" w:rsidRPr="5176D4DE">
              <w:rPr>
                <w:rFonts w:ascii="Arial" w:eastAsia="Arial" w:hAnsi="Arial" w:cs="Arial"/>
              </w:rPr>
              <w:t>se aprobó el “</w:t>
            </w:r>
            <w:r w:rsidR="20B41709" w:rsidRPr="5176D4DE">
              <w:rPr>
                <w:rFonts w:ascii="Arial" w:eastAsia="Arial" w:hAnsi="Arial" w:cs="Arial"/>
              </w:rPr>
              <w:t>Plan de Inversiones en Infraestructura para Comunidades Indígenas y Rurales del Sur de Chile / Regiones Biobío a Los Lagos</w:t>
            </w:r>
            <w:r w:rsidR="00E55E56">
              <w:rPr>
                <w:rFonts w:ascii="Arial" w:eastAsia="Arial" w:hAnsi="Arial" w:cs="Arial"/>
              </w:rPr>
              <w:t>, 2023-2032</w:t>
            </w:r>
            <w:r w:rsidR="4740C8AD" w:rsidRPr="5176D4DE">
              <w:rPr>
                <w:rFonts w:ascii="Arial" w:eastAsia="Arial" w:hAnsi="Arial" w:cs="Arial"/>
              </w:rPr>
              <w:t xml:space="preserve">”, </w:t>
            </w:r>
            <w:r w:rsidR="6FE4E7B8" w:rsidRPr="5176D4DE">
              <w:rPr>
                <w:rFonts w:ascii="Arial" w:eastAsia="Arial" w:hAnsi="Arial" w:cs="Arial"/>
              </w:rPr>
              <w:t xml:space="preserve">instrumento de planificación de obras públicas focalizado en las brechas de infraestructura que afectan a los territorios con presencia de comunidades indígenas y rurales, aprobado por el Consejo Interministerial para la Coordinación del Plan Buen Vivir en su sesión N° 4, efectuada el 20 de diciembre de 2024, </w:t>
            </w:r>
            <w:r w:rsidR="00E55E56">
              <w:rPr>
                <w:rFonts w:ascii="Arial" w:eastAsia="Arial" w:hAnsi="Arial" w:cs="Arial"/>
              </w:rPr>
              <w:t xml:space="preserve">y </w:t>
            </w:r>
            <w:r w:rsidR="4740C8AD" w:rsidRPr="5176D4DE">
              <w:rPr>
                <w:rFonts w:ascii="Arial" w:eastAsia="Arial" w:hAnsi="Arial" w:cs="Arial"/>
              </w:rPr>
              <w:t xml:space="preserve">que tiene por objetivo </w:t>
            </w:r>
            <w:r w:rsidR="139DC7BA" w:rsidRPr="5176D4DE">
              <w:rPr>
                <w:rFonts w:ascii="Arial" w:eastAsia="Arial" w:hAnsi="Arial" w:cs="Arial"/>
              </w:rPr>
              <w:t xml:space="preserve">abordar la brecha en materia de infraestructura básica de acceso al agua y caminos en </w:t>
            </w:r>
            <w:r w:rsidR="00E55E56">
              <w:rPr>
                <w:rFonts w:ascii="Arial" w:eastAsia="Arial" w:hAnsi="Arial" w:cs="Arial"/>
              </w:rPr>
              <w:t xml:space="preserve">la ruralidad de </w:t>
            </w:r>
            <w:r w:rsidR="139DC7BA" w:rsidRPr="5176D4DE">
              <w:rPr>
                <w:rFonts w:ascii="Arial" w:eastAsia="Arial" w:hAnsi="Arial" w:cs="Arial"/>
              </w:rPr>
              <w:t>las regiones de la Macrozona Sur.</w:t>
            </w:r>
            <w:r w:rsidR="4740C8AD" w:rsidRPr="5176D4DE">
              <w:rPr>
                <w:rFonts w:ascii="Arial" w:eastAsia="Arial" w:hAnsi="Arial" w:cs="Arial"/>
              </w:rPr>
              <w:t xml:space="preserve"> </w:t>
            </w:r>
          </w:p>
          <w:p w14:paraId="3D92C16F" w14:textId="6A6A93C8" w:rsidR="00A617DA" w:rsidRDefault="00A617DA" w:rsidP="4742C33E">
            <w:pPr>
              <w:spacing w:before="240" w:after="240"/>
              <w:rPr>
                <w:rFonts w:ascii="Arial" w:eastAsia="Arial" w:hAnsi="Arial" w:cs="Arial"/>
              </w:rPr>
            </w:pPr>
            <w:r w:rsidRPr="00A617DA">
              <w:rPr>
                <w:rFonts w:ascii="Arial" w:eastAsia="Arial" w:hAnsi="Arial" w:cs="Arial"/>
              </w:rPr>
              <w:t>E</w:t>
            </w:r>
            <w:r>
              <w:rPr>
                <w:rFonts w:ascii="Arial" w:eastAsia="Arial" w:hAnsi="Arial" w:cs="Arial"/>
              </w:rPr>
              <w:t>sta inversión se vio acompañada de procesos de diálogo destinados a reducir riesgos dada la complejidad socio-territorial de las localidades habitadas por comunidades indígenas. E</w:t>
            </w:r>
            <w:r w:rsidRPr="00A617DA">
              <w:rPr>
                <w:rFonts w:ascii="Arial" w:eastAsia="Arial" w:hAnsi="Arial" w:cs="Arial"/>
              </w:rPr>
              <w:t xml:space="preserve">ntre enero del 2023 a agosto del 2025, el Plan Buen Vivir </w:t>
            </w:r>
            <w:r w:rsidR="00E55E56">
              <w:rPr>
                <w:rFonts w:ascii="Arial" w:eastAsia="Arial" w:hAnsi="Arial" w:cs="Arial"/>
              </w:rPr>
              <w:t>del Ministerio</w:t>
            </w:r>
            <w:r>
              <w:rPr>
                <w:rFonts w:ascii="Arial" w:eastAsia="Arial" w:hAnsi="Arial" w:cs="Arial"/>
              </w:rPr>
              <w:t xml:space="preserve"> del Interior h</w:t>
            </w:r>
            <w:r w:rsidRPr="00A617DA">
              <w:rPr>
                <w:rFonts w:ascii="Arial" w:eastAsia="Arial" w:hAnsi="Arial" w:cs="Arial"/>
              </w:rPr>
              <w:t>a realizado un total de 1.329 diálogos con comunidades indígenas que habitan las regiones del Biobío, La Araucanía, Los Ríos y Los Lagos</w:t>
            </w:r>
            <w:r>
              <w:rPr>
                <w:rFonts w:ascii="Arial" w:eastAsia="Arial" w:hAnsi="Arial" w:cs="Arial"/>
              </w:rPr>
              <w:t>.</w:t>
            </w:r>
          </w:p>
          <w:p w14:paraId="4D3BAC01" w14:textId="5A1FEDAB" w:rsidR="12C4E2E6" w:rsidRPr="005C7D10" w:rsidRDefault="4740C8AD" w:rsidP="09707CB3">
            <w:pPr>
              <w:spacing w:before="240" w:after="240"/>
              <w:rPr>
                <w:rFonts w:ascii="Arial" w:eastAsia="Arial" w:hAnsi="Arial" w:cs="Arial"/>
              </w:rPr>
            </w:pPr>
            <w:r w:rsidRPr="005C7D10">
              <w:rPr>
                <w:rFonts w:ascii="Arial" w:eastAsia="Arial" w:hAnsi="Arial" w:cs="Arial"/>
              </w:rPr>
              <w:t xml:space="preserve">Además, </w:t>
            </w:r>
            <w:r w:rsidR="30E01628" w:rsidRPr="005C7D10">
              <w:rPr>
                <w:rFonts w:ascii="Arial" w:eastAsia="Arial" w:hAnsi="Arial" w:cs="Arial"/>
              </w:rPr>
              <w:t xml:space="preserve">en un desafío inédito de articulación entre el MOP y la academia, </w:t>
            </w:r>
            <w:r w:rsidR="098FB27F" w:rsidRPr="005C7D10">
              <w:rPr>
                <w:rFonts w:ascii="Arial" w:eastAsia="Arial" w:hAnsi="Arial" w:cs="Arial"/>
              </w:rPr>
              <w:t xml:space="preserve">en 2024 y 2025 </w:t>
            </w:r>
            <w:r w:rsidR="65CA03DD" w:rsidRPr="005C7D10">
              <w:rPr>
                <w:rFonts w:ascii="Arial" w:eastAsia="Arial" w:hAnsi="Arial" w:cs="Arial"/>
              </w:rPr>
              <w:t>la DGOP suscribi</w:t>
            </w:r>
            <w:r w:rsidR="00CC1799" w:rsidRPr="005C7D10">
              <w:rPr>
                <w:rFonts w:ascii="Arial" w:eastAsia="Arial" w:hAnsi="Arial" w:cs="Arial"/>
              </w:rPr>
              <w:t>eron</w:t>
            </w:r>
            <w:r w:rsidR="65CA03DD" w:rsidRPr="005C7D10">
              <w:rPr>
                <w:rFonts w:ascii="Arial" w:eastAsia="Arial" w:hAnsi="Arial" w:cs="Arial"/>
              </w:rPr>
              <w:t xml:space="preserve"> </w:t>
            </w:r>
            <w:r w:rsidR="09DB259B" w:rsidRPr="005C7D10">
              <w:rPr>
                <w:rFonts w:ascii="Arial" w:eastAsia="Arial" w:hAnsi="Arial" w:cs="Arial"/>
              </w:rPr>
              <w:t xml:space="preserve">nueve convenios con universidades estatales </w:t>
            </w:r>
            <w:r w:rsidR="2F0B06B2" w:rsidRPr="005C7D10">
              <w:rPr>
                <w:rFonts w:ascii="Arial" w:eastAsia="Arial" w:hAnsi="Arial" w:cs="Arial"/>
              </w:rPr>
              <w:t>por un total de M</w:t>
            </w:r>
            <w:r w:rsidR="00E55E56" w:rsidRPr="005C7D10">
              <w:rPr>
                <w:rFonts w:ascii="Arial" w:eastAsia="Arial" w:hAnsi="Arial" w:cs="Arial"/>
              </w:rPr>
              <w:t>M</w:t>
            </w:r>
            <w:r w:rsidR="2F0B06B2" w:rsidRPr="005C7D10">
              <w:rPr>
                <w:rFonts w:ascii="Arial" w:eastAsia="Arial" w:hAnsi="Arial" w:cs="Arial"/>
              </w:rPr>
              <w:t>$</w:t>
            </w:r>
            <w:r w:rsidR="00E55E56" w:rsidRPr="005C7D10">
              <w:rPr>
                <w:rFonts w:ascii="Arial" w:eastAsia="Arial" w:hAnsi="Arial" w:cs="Arial"/>
              </w:rPr>
              <w:t xml:space="preserve"> </w:t>
            </w:r>
            <w:r w:rsidR="00CC1799" w:rsidRPr="005C7D10">
              <w:rPr>
                <w:rFonts w:ascii="Arial" w:eastAsia="Arial" w:hAnsi="Arial" w:cs="Arial"/>
              </w:rPr>
              <w:t>22.787</w:t>
            </w:r>
            <w:r w:rsidR="2F0B06B2" w:rsidRPr="005C7D10">
              <w:rPr>
                <w:rFonts w:ascii="Arial" w:eastAsia="Arial" w:hAnsi="Arial" w:cs="Arial"/>
              </w:rPr>
              <w:t xml:space="preserve"> </w:t>
            </w:r>
            <w:r w:rsidR="502EE6A8" w:rsidRPr="005C7D10">
              <w:rPr>
                <w:rFonts w:ascii="Arial" w:eastAsia="Arial" w:hAnsi="Arial" w:cs="Arial"/>
              </w:rPr>
              <w:t>destinados al diseño de carteras de proyectos de agua y caminos rurales</w:t>
            </w:r>
            <w:r w:rsidR="1ED15A0A" w:rsidRPr="005C7D10">
              <w:rPr>
                <w:rFonts w:ascii="Arial" w:eastAsia="Arial" w:hAnsi="Arial" w:cs="Arial"/>
              </w:rPr>
              <w:t>, promoviendo soluciones adaptadas a la dispersión territorial y a las condiciones culturales de las comunidades</w:t>
            </w:r>
            <w:r w:rsidR="7C29478F" w:rsidRPr="005C7D10">
              <w:rPr>
                <w:rFonts w:ascii="Arial" w:eastAsia="Arial" w:hAnsi="Arial" w:cs="Arial"/>
              </w:rPr>
              <w:t xml:space="preserve">, </w:t>
            </w:r>
            <w:r w:rsidR="00E55E56" w:rsidRPr="005C7D10">
              <w:rPr>
                <w:rFonts w:ascii="Arial" w:eastAsia="Arial" w:hAnsi="Arial" w:cs="Arial"/>
              </w:rPr>
              <w:t xml:space="preserve">y </w:t>
            </w:r>
            <w:r w:rsidR="7C29478F" w:rsidRPr="005C7D10">
              <w:rPr>
                <w:rFonts w:ascii="Arial" w:eastAsia="Arial" w:hAnsi="Arial" w:cs="Arial"/>
              </w:rPr>
              <w:t>ampliando la cobertura territorial y la continuidad de la inversión en las regiones del programa</w:t>
            </w:r>
            <w:r w:rsidR="502EE6A8" w:rsidRPr="005C7D10">
              <w:rPr>
                <w:rFonts w:ascii="Arial" w:eastAsia="Arial" w:hAnsi="Arial" w:cs="Arial"/>
              </w:rPr>
              <w:t>. Además</w:t>
            </w:r>
            <w:r w:rsidR="111B7DC5" w:rsidRPr="005C7D10">
              <w:rPr>
                <w:rFonts w:ascii="Arial" w:eastAsia="Arial" w:hAnsi="Arial" w:cs="Arial"/>
              </w:rPr>
              <w:t>,</w:t>
            </w:r>
            <w:r w:rsidR="502EE6A8" w:rsidRPr="005C7D10">
              <w:rPr>
                <w:rFonts w:ascii="Arial" w:eastAsia="Arial" w:hAnsi="Arial" w:cs="Arial"/>
              </w:rPr>
              <w:t xml:space="preserve"> s</w:t>
            </w:r>
            <w:r w:rsidR="4A1BA025" w:rsidRPr="005C7D10">
              <w:rPr>
                <w:rFonts w:ascii="Arial" w:eastAsia="Arial" w:hAnsi="Arial" w:cs="Arial"/>
              </w:rPr>
              <w:t xml:space="preserve">e </w:t>
            </w:r>
            <w:r w:rsidR="64C1565A" w:rsidRPr="005C7D10">
              <w:rPr>
                <w:rFonts w:ascii="Arial" w:eastAsia="Arial" w:hAnsi="Arial" w:cs="Arial"/>
              </w:rPr>
              <w:t>desarrollaron bases</w:t>
            </w:r>
            <w:r w:rsidR="58B3FD1E" w:rsidRPr="005C7D10">
              <w:rPr>
                <w:rFonts w:ascii="Arial" w:eastAsia="Arial" w:hAnsi="Arial" w:cs="Arial"/>
              </w:rPr>
              <w:t xml:space="preserve"> e </w:t>
            </w:r>
            <w:r w:rsidR="4A1BA025" w:rsidRPr="005C7D10">
              <w:rPr>
                <w:rFonts w:ascii="Arial" w:eastAsia="Arial" w:hAnsi="Arial" w:cs="Arial"/>
              </w:rPr>
              <w:t xml:space="preserve">instrumental </w:t>
            </w:r>
            <w:r w:rsidR="080E0272" w:rsidRPr="005C7D10">
              <w:rPr>
                <w:rFonts w:ascii="Arial" w:eastAsia="Arial" w:hAnsi="Arial" w:cs="Arial"/>
              </w:rPr>
              <w:t xml:space="preserve">necesario </w:t>
            </w:r>
            <w:r w:rsidR="4A1BA025" w:rsidRPr="005C7D10">
              <w:rPr>
                <w:rFonts w:ascii="Arial" w:eastAsia="Arial" w:hAnsi="Arial" w:cs="Arial"/>
              </w:rPr>
              <w:t xml:space="preserve">para </w:t>
            </w:r>
            <w:r w:rsidR="44FC68BC" w:rsidRPr="005C7D10">
              <w:rPr>
                <w:rFonts w:ascii="Arial" w:eastAsia="Arial" w:hAnsi="Arial" w:cs="Arial"/>
              </w:rPr>
              <w:t xml:space="preserve">extender esta herramienta de </w:t>
            </w:r>
            <w:r w:rsidR="42420FC1" w:rsidRPr="005C7D10">
              <w:rPr>
                <w:rFonts w:ascii="Arial" w:eastAsia="Arial" w:hAnsi="Arial" w:cs="Arial"/>
              </w:rPr>
              <w:t xml:space="preserve">aceleración de cartera </w:t>
            </w:r>
            <w:r w:rsidR="6C397BFA" w:rsidRPr="005C7D10">
              <w:rPr>
                <w:rFonts w:ascii="Arial" w:eastAsia="Arial" w:hAnsi="Arial" w:cs="Arial"/>
              </w:rPr>
              <w:t>a</w:t>
            </w:r>
            <w:r w:rsidR="6E55D272" w:rsidRPr="005C7D10">
              <w:rPr>
                <w:rFonts w:ascii="Arial" w:eastAsia="Arial" w:hAnsi="Arial" w:cs="Arial"/>
              </w:rPr>
              <w:t xml:space="preserve"> universidades privadas y otras </w:t>
            </w:r>
            <w:r w:rsidR="09DB259B" w:rsidRPr="005C7D10">
              <w:rPr>
                <w:rFonts w:ascii="Arial" w:eastAsia="Arial" w:hAnsi="Arial" w:cs="Arial"/>
              </w:rPr>
              <w:t xml:space="preserve">instituciones </w:t>
            </w:r>
            <w:r w:rsidR="71A236D2" w:rsidRPr="005C7D10">
              <w:rPr>
                <w:rFonts w:ascii="Arial" w:eastAsia="Arial" w:hAnsi="Arial" w:cs="Arial"/>
              </w:rPr>
              <w:t>no gubernamentales</w:t>
            </w:r>
            <w:r w:rsidR="40B7E35F" w:rsidRPr="005C7D10">
              <w:rPr>
                <w:rFonts w:ascii="Arial" w:eastAsia="Arial" w:hAnsi="Arial" w:cs="Arial"/>
              </w:rPr>
              <w:t xml:space="preserve">, por la vía de concursos públicos </w:t>
            </w:r>
            <w:r w:rsidR="5F08E3B7" w:rsidRPr="005C7D10">
              <w:rPr>
                <w:rFonts w:ascii="Arial" w:eastAsia="Arial" w:hAnsi="Arial" w:cs="Arial"/>
              </w:rPr>
              <w:t>amparados en</w:t>
            </w:r>
            <w:r w:rsidR="47CD97F6" w:rsidRPr="005C7D10">
              <w:rPr>
                <w:rFonts w:ascii="Arial" w:eastAsia="Arial" w:hAnsi="Arial" w:cs="Arial"/>
              </w:rPr>
              <w:t xml:space="preserve"> l</w:t>
            </w:r>
            <w:r w:rsidR="2B69269F" w:rsidRPr="005C7D10">
              <w:rPr>
                <w:rFonts w:ascii="Arial" w:eastAsia="Arial" w:hAnsi="Arial" w:cs="Arial"/>
              </w:rPr>
              <w:t xml:space="preserve">a </w:t>
            </w:r>
            <w:r w:rsidR="40B7E35F" w:rsidRPr="005C7D10">
              <w:rPr>
                <w:rFonts w:ascii="Arial" w:eastAsia="Arial" w:hAnsi="Arial" w:cs="Arial"/>
              </w:rPr>
              <w:t xml:space="preserve">Ley de Presupuesto y Contraloría General de la </w:t>
            </w:r>
            <w:r w:rsidR="0E104D1E" w:rsidRPr="005C7D10">
              <w:rPr>
                <w:rFonts w:ascii="Arial" w:eastAsia="Arial" w:hAnsi="Arial" w:cs="Arial"/>
              </w:rPr>
              <w:t>R</w:t>
            </w:r>
            <w:r w:rsidR="40B7E35F" w:rsidRPr="005C7D10">
              <w:rPr>
                <w:rFonts w:ascii="Arial" w:eastAsia="Arial" w:hAnsi="Arial" w:cs="Arial"/>
              </w:rPr>
              <w:t xml:space="preserve">epública, </w:t>
            </w:r>
            <w:r w:rsidR="09DB259B" w:rsidRPr="005C7D10">
              <w:rPr>
                <w:rFonts w:ascii="Arial" w:eastAsia="Arial" w:hAnsi="Arial" w:cs="Arial"/>
              </w:rPr>
              <w:t xml:space="preserve">por un monto total de MM$ </w:t>
            </w:r>
            <w:r w:rsidR="00CC1799" w:rsidRPr="005C7D10">
              <w:rPr>
                <w:rFonts w:ascii="Arial" w:eastAsia="Arial" w:hAnsi="Arial" w:cs="Arial"/>
              </w:rPr>
              <w:t>8.153</w:t>
            </w:r>
            <w:r w:rsidR="604825AD" w:rsidRPr="005C7D10">
              <w:rPr>
                <w:rFonts w:ascii="Arial" w:eastAsia="Arial" w:hAnsi="Arial" w:cs="Arial"/>
              </w:rPr>
              <w:t>.</w:t>
            </w:r>
          </w:p>
          <w:p w14:paraId="2D08CA61" w14:textId="63CD08DD" w:rsidR="3000A875" w:rsidRDefault="737C3AB0" w:rsidP="5176D4DE">
            <w:pPr>
              <w:spacing w:before="240" w:after="240"/>
              <w:rPr>
                <w:rFonts w:ascii="Arial" w:eastAsia="Arial" w:hAnsi="Arial" w:cs="Arial"/>
              </w:rPr>
            </w:pPr>
            <w:r w:rsidRPr="005C7D10">
              <w:rPr>
                <w:rFonts w:ascii="Arial" w:eastAsia="Arial" w:hAnsi="Arial" w:cs="Arial"/>
              </w:rPr>
              <w:t xml:space="preserve">Adicionalmente, la DGOP suscribió 5 convenios con municipios </w:t>
            </w:r>
            <w:r w:rsidR="5EEB4AE1" w:rsidRPr="005C7D10">
              <w:rPr>
                <w:rFonts w:ascii="Arial" w:eastAsia="Arial" w:hAnsi="Arial" w:cs="Arial"/>
              </w:rPr>
              <w:t xml:space="preserve">de Arauco y La Araucanía </w:t>
            </w:r>
            <w:r w:rsidRPr="005C7D10">
              <w:rPr>
                <w:rFonts w:ascii="Arial" w:eastAsia="Arial" w:hAnsi="Arial" w:cs="Arial"/>
              </w:rPr>
              <w:t xml:space="preserve">para transferencia de recursos en obras emblemáticas, tales como sitios de significación cultural </w:t>
            </w:r>
            <w:r w:rsidR="3103DC24" w:rsidRPr="005C7D10">
              <w:rPr>
                <w:rFonts w:ascii="Arial" w:eastAsia="Arial" w:hAnsi="Arial" w:cs="Arial"/>
              </w:rPr>
              <w:t xml:space="preserve">en la comuna de Lumaco, conservación </w:t>
            </w:r>
            <w:r w:rsidR="21940D32" w:rsidRPr="005C7D10">
              <w:rPr>
                <w:rFonts w:ascii="Arial" w:eastAsia="Arial" w:hAnsi="Arial" w:cs="Arial"/>
              </w:rPr>
              <w:t xml:space="preserve">de </w:t>
            </w:r>
            <w:r w:rsidR="745BB2BA" w:rsidRPr="005C7D10">
              <w:rPr>
                <w:rFonts w:ascii="Arial" w:eastAsia="Arial" w:hAnsi="Arial" w:cs="Arial"/>
              </w:rPr>
              <w:t>20</w:t>
            </w:r>
            <w:r w:rsidR="6D6FC968" w:rsidRPr="005C7D10">
              <w:rPr>
                <w:rFonts w:ascii="Arial" w:eastAsia="Arial" w:hAnsi="Arial" w:cs="Arial"/>
              </w:rPr>
              <w:t xml:space="preserve"> </w:t>
            </w:r>
            <w:r w:rsidR="00FA2383" w:rsidRPr="005C7D10">
              <w:rPr>
                <w:rFonts w:ascii="Arial" w:eastAsia="Arial" w:hAnsi="Arial" w:cs="Arial"/>
              </w:rPr>
              <w:t>Km</w:t>
            </w:r>
            <w:r w:rsidR="745BB2BA" w:rsidRPr="005C7D10">
              <w:rPr>
                <w:rFonts w:ascii="Arial" w:eastAsia="Arial" w:hAnsi="Arial" w:cs="Arial"/>
              </w:rPr>
              <w:t xml:space="preserve"> de </w:t>
            </w:r>
            <w:r w:rsidR="21940D32" w:rsidRPr="005C7D10">
              <w:rPr>
                <w:rFonts w:ascii="Arial" w:eastAsia="Arial" w:hAnsi="Arial" w:cs="Arial"/>
              </w:rPr>
              <w:t xml:space="preserve">caminos en comunidades indígenas </w:t>
            </w:r>
            <w:r w:rsidR="3103DC24" w:rsidRPr="005C7D10">
              <w:rPr>
                <w:rFonts w:ascii="Arial" w:eastAsia="Arial" w:hAnsi="Arial" w:cs="Arial"/>
              </w:rPr>
              <w:t xml:space="preserve">en la comuna de Padre Las Casas </w:t>
            </w:r>
            <w:r w:rsidR="3CFA4CA4" w:rsidRPr="005C7D10">
              <w:rPr>
                <w:rFonts w:ascii="Arial" w:eastAsia="Arial" w:hAnsi="Arial" w:cs="Arial"/>
              </w:rPr>
              <w:t xml:space="preserve">y el </w:t>
            </w:r>
            <w:r w:rsidR="6D400A94" w:rsidRPr="005C7D10">
              <w:rPr>
                <w:rFonts w:ascii="Arial" w:eastAsia="Arial" w:hAnsi="Arial" w:cs="Arial"/>
              </w:rPr>
              <w:t xml:space="preserve">soterramiento de 2 </w:t>
            </w:r>
            <w:r w:rsidR="00FA2383" w:rsidRPr="005C7D10">
              <w:rPr>
                <w:rFonts w:ascii="Arial" w:eastAsia="Arial" w:hAnsi="Arial" w:cs="Arial"/>
              </w:rPr>
              <w:t>k</w:t>
            </w:r>
            <w:r w:rsidR="6D400A94" w:rsidRPr="005C7D10">
              <w:rPr>
                <w:rFonts w:ascii="Arial" w:eastAsia="Arial" w:hAnsi="Arial" w:cs="Arial"/>
              </w:rPr>
              <w:t xml:space="preserve">m en zona crítica de </w:t>
            </w:r>
            <w:r w:rsidR="7CC0AB7D" w:rsidRPr="005C7D10">
              <w:rPr>
                <w:rFonts w:ascii="Arial" w:eastAsia="Arial" w:hAnsi="Arial" w:cs="Arial"/>
              </w:rPr>
              <w:t xml:space="preserve">la Av. </w:t>
            </w:r>
            <w:r w:rsidR="3CFA4CA4" w:rsidRPr="005C7D10">
              <w:rPr>
                <w:rFonts w:ascii="Arial" w:eastAsia="Arial" w:hAnsi="Arial" w:cs="Arial"/>
              </w:rPr>
              <w:t>Caupolicán en Temuco, todo</w:t>
            </w:r>
            <w:r w:rsidR="00E55E56" w:rsidRPr="005C7D10">
              <w:rPr>
                <w:rFonts w:ascii="Arial" w:eastAsia="Arial" w:hAnsi="Arial" w:cs="Arial"/>
              </w:rPr>
              <w:t xml:space="preserve"> ello por un monto total de </w:t>
            </w:r>
            <w:r w:rsidR="12944FD0" w:rsidRPr="005C7D10">
              <w:rPr>
                <w:rFonts w:ascii="Arial" w:eastAsia="Arial" w:hAnsi="Arial" w:cs="Arial"/>
              </w:rPr>
              <w:t>M</w:t>
            </w:r>
            <w:r w:rsidR="00E55E56" w:rsidRPr="005C7D10">
              <w:rPr>
                <w:rFonts w:ascii="Arial" w:eastAsia="Arial" w:hAnsi="Arial" w:cs="Arial"/>
              </w:rPr>
              <w:t>M</w:t>
            </w:r>
            <w:r w:rsidR="12944FD0" w:rsidRPr="005C7D10">
              <w:rPr>
                <w:rFonts w:ascii="Arial" w:eastAsia="Arial" w:hAnsi="Arial" w:cs="Arial"/>
              </w:rPr>
              <w:t>$</w:t>
            </w:r>
            <w:r w:rsidR="00E55E56" w:rsidRPr="005C7D10">
              <w:rPr>
                <w:rFonts w:ascii="Arial" w:eastAsia="Arial" w:hAnsi="Arial" w:cs="Arial"/>
              </w:rPr>
              <w:t xml:space="preserve"> </w:t>
            </w:r>
            <w:r w:rsidR="21E73290" w:rsidRPr="005C7D10">
              <w:rPr>
                <w:rFonts w:ascii="Arial" w:eastAsia="Arial" w:hAnsi="Arial" w:cs="Arial"/>
              </w:rPr>
              <w:t>47</w:t>
            </w:r>
            <w:r w:rsidR="41132054" w:rsidRPr="005C7D10">
              <w:rPr>
                <w:rFonts w:ascii="Arial" w:eastAsia="Arial" w:hAnsi="Arial" w:cs="Arial"/>
              </w:rPr>
              <w:t>.</w:t>
            </w:r>
            <w:r w:rsidR="645F317A" w:rsidRPr="005C7D10">
              <w:rPr>
                <w:rFonts w:ascii="Arial" w:eastAsia="Arial" w:hAnsi="Arial" w:cs="Arial"/>
              </w:rPr>
              <w:t>77</w:t>
            </w:r>
            <w:r w:rsidR="00E55E56" w:rsidRPr="005C7D10">
              <w:rPr>
                <w:rFonts w:ascii="Arial" w:eastAsia="Arial" w:hAnsi="Arial" w:cs="Arial"/>
              </w:rPr>
              <w:t>4</w:t>
            </w:r>
            <w:r w:rsidR="41132054" w:rsidRPr="005C7D10">
              <w:rPr>
                <w:rFonts w:ascii="Arial" w:eastAsia="Arial" w:hAnsi="Arial" w:cs="Arial"/>
              </w:rPr>
              <w:t>.</w:t>
            </w:r>
            <w:r w:rsidR="00712D72">
              <w:rPr>
                <w:rFonts w:ascii="Arial" w:eastAsia="Arial" w:hAnsi="Arial" w:cs="Arial"/>
              </w:rPr>
              <w:t xml:space="preserve"> Adicionalmente, se dispone de avance en 2 Convenios para implementar Sitios de Significación Cultural en comunas de Contulmo y Los Ángeles.</w:t>
            </w:r>
          </w:p>
          <w:p w14:paraId="0670620F" w14:textId="030D9FB7" w:rsidR="12C4E2E6" w:rsidRDefault="1EAFC96B" w:rsidP="4742C33E">
            <w:pPr>
              <w:spacing w:before="240" w:after="240"/>
              <w:rPr>
                <w:rFonts w:ascii="Arial" w:eastAsia="Arial" w:hAnsi="Arial" w:cs="Arial"/>
              </w:rPr>
            </w:pPr>
            <w:r w:rsidRPr="5176D4DE">
              <w:rPr>
                <w:rFonts w:ascii="Arial" w:eastAsia="Arial" w:hAnsi="Arial" w:cs="Arial"/>
              </w:rPr>
              <w:t xml:space="preserve">En el ámbito institucional, se avanzó en la superación de la fragmentación detectada en 2022 mediante un modelo de coordinación </w:t>
            </w:r>
            <w:r w:rsidR="19725E9D" w:rsidRPr="5176D4DE">
              <w:rPr>
                <w:rFonts w:ascii="Arial" w:eastAsia="Arial" w:hAnsi="Arial" w:cs="Arial"/>
              </w:rPr>
              <w:t>interregi</w:t>
            </w:r>
            <w:r w:rsidRPr="5176D4DE">
              <w:rPr>
                <w:rFonts w:ascii="Arial" w:eastAsia="Arial" w:hAnsi="Arial" w:cs="Arial"/>
              </w:rPr>
              <w:t>onal que integró a la DGOP</w:t>
            </w:r>
            <w:r w:rsidR="352190C6" w:rsidRPr="5176D4DE">
              <w:rPr>
                <w:rFonts w:ascii="Arial" w:eastAsia="Arial" w:hAnsi="Arial" w:cs="Arial"/>
              </w:rPr>
              <w:t xml:space="preserve"> y a los diversos </w:t>
            </w:r>
            <w:r w:rsidR="352190C6" w:rsidRPr="5176D4DE">
              <w:rPr>
                <w:rFonts w:ascii="Arial" w:eastAsia="Arial" w:hAnsi="Arial" w:cs="Arial"/>
              </w:rPr>
              <w:lastRenderedPageBreak/>
              <w:t>servicios ejecutores bajo su dependencia, en especial</w:t>
            </w:r>
            <w:r w:rsidRPr="5176D4DE">
              <w:rPr>
                <w:rFonts w:ascii="Arial" w:eastAsia="Arial" w:hAnsi="Arial" w:cs="Arial"/>
              </w:rPr>
              <w:t xml:space="preserve"> la Dirección de Vialidad</w:t>
            </w:r>
            <w:r w:rsidR="0E0CDD95" w:rsidRPr="5176D4DE">
              <w:rPr>
                <w:rFonts w:ascii="Arial" w:eastAsia="Arial" w:hAnsi="Arial" w:cs="Arial"/>
              </w:rPr>
              <w:t xml:space="preserve"> y la Dirección de</w:t>
            </w:r>
            <w:r w:rsidRPr="5176D4DE">
              <w:rPr>
                <w:rFonts w:ascii="Arial" w:eastAsia="Arial" w:hAnsi="Arial" w:cs="Arial"/>
              </w:rPr>
              <w:t xml:space="preserve"> Obras Hidráulicas y </w:t>
            </w:r>
            <w:r w:rsidR="4CC7169F" w:rsidRPr="5176D4DE">
              <w:rPr>
                <w:rFonts w:ascii="Arial" w:eastAsia="Arial" w:hAnsi="Arial" w:cs="Arial"/>
              </w:rPr>
              <w:t>su</w:t>
            </w:r>
            <w:r w:rsidRPr="5176D4DE">
              <w:rPr>
                <w:rFonts w:ascii="Arial" w:eastAsia="Arial" w:hAnsi="Arial" w:cs="Arial"/>
              </w:rPr>
              <w:t xml:space="preserve"> Subdirección de S</w:t>
            </w:r>
            <w:r w:rsidR="45267E58" w:rsidRPr="5176D4DE">
              <w:rPr>
                <w:rFonts w:ascii="Arial" w:eastAsia="Arial" w:hAnsi="Arial" w:cs="Arial"/>
              </w:rPr>
              <w:t>ervicios Sanitarios Rurales</w:t>
            </w:r>
            <w:r w:rsidRPr="5176D4DE">
              <w:rPr>
                <w:rFonts w:ascii="Arial" w:eastAsia="Arial" w:hAnsi="Arial" w:cs="Arial"/>
              </w:rPr>
              <w:t>. Para dotar de estabilidad y coherencia a este modelo, se estableció que la Dirección General de Obras Públicas (DGOP) asumiera la responsabilidad general del Programa de Infraestructura para el Buen Vivir, fortaleciendo la gobernanza y la capacidad de seguimiento institucional</w:t>
            </w:r>
            <w:r w:rsidR="20D8FE7F" w:rsidRPr="5176D4DE">
              <w:rPr>
                <w:rFonts w:ascii="Arial" w:eastAsia="Arial" w:hAnsi="Arial" w:cs="Arial"/>
              </w:rPr>
              <w:t>, en directa coordinación con el equipo encargado del Plan Buen Vivir, dependiente del Ministerio del Interior</w:t>
            </w:r>
            <w:r w:rsidRPr="5176D4DE">
              <w:rPr>
                <w:rFonts w:ascii="Arial" w:eastAsia="Arial" w:hAnsi="Arial" w:cs="Arial"/>
              </w:rPr>
              <w:t xml:space="preserve">. La existencia de una autoridad responsable </w:t>
            </w:r>
            <w:r w:rsidR="36E01F83" w:rsidRPr="5176D4DE">
              <w:rPr>
                <w:rFonts w:ascii="Arial" w:eastAsia="Arial" w:hAnsi="Arial" w:cs="Arial"/>
              </w:rPr>
              <w:t xml:space="preserve">y coordinada </w:t>
            </w:r>
            <w:r w:rsidRPr="5176D4DE">
              <w:rPr>
                <w:rFonts w:ascii="Arial" w:eastAsia="Arial" w:hAnsi="Arial" w:cs="Arial"/>
              </w:rPr>
              <w:t>permitió unificar criterios técnicos, administrativos y de planificación, mejorando la calidad de la coordinación intersectorial y la trazabilidad de las decisiones.</w:t>
            </w:r>
          </w:p>
          <w:p w14:paraId="30B99B5A" w14:textId="21ED939C" w:rsidR="39EB267F" w:rsidRDefault="09DB259B" w:rsidP="4742C33E">
            <w:pPr>
              <w:spacing w:before="240" w:after="240"/>
              <w:rPr>
                <w:rFonts w:ascii="Arial" w:eastAsia="Arial" w:hAnsi="Arial" w:cs="Arial"/>
              </w:rPr>
            </w:pPr>
            <w:r w:rsidRPr="5176D4DE">
              <w:rPr>
                <w:rFonts w:ascii="Arial" w:eastAsia="Arial" w:hAnsi="Arial" w:cs="Arial"/>
              </w:rPr>
              <w:t>En 2025, los Ministerios de Hacienda y Desarrollo Social aprobaron la aplicación del enfoque de costo-eficiencia en la evaluación de proyectos</w:t>
            </w:r>
            <w:r w:rsidR="00E55E56">
              <w:rPr>
                <w:rFonts w:ascii="Arial" w:eastAsia="Arial" w:hAnsi="Arial" w:cs="Arial"/>
              </w:rPr>
              <w:t xml:space="preserve"> del Programa</w:t>
            </w:r>
            <w:r w:rsidRPr="5176D4DE">
              <w:rPr>
                <w:rFonts w:ascii="Arial" w:eastAsia="Arial" w:hAnsi="Arial" w:cs="Arial"/>
              </w:rPr>
              <w:t xml:space="preserve">, lo que permitió priorizar inversiones de alto impacto social en zonas de baja densidad. Asimismo, se implementó el Protocolo Marco de Gestión de Riesgos en Zonas de Complejidad Socio-Territorial, destinado a fortalecer la seguridad de los equipos </w:t>
            </w:r>
            <w:r w:rsidR="5AA454FE" w:rsidRPr="5176D4DE">
              <w:rPr>
                <w:rFonts w:ascii="Arial" w:eastAsia="Arial" w:hAnsi="Arial" w:cs="Arial"/>
              </w:rPr>
              <w:t xml:space="preserve">humanos en terreno </w:t>
            </w:r>
            <w:r w:rsidRPr="5176D4DE">
              <w:rPr>
                <w:rFonts w:ascii="Arial" w:eastAsia="Arial" w:hAnsi="Arial" w:cs="Arial"/>
              </w:rPr>
              <w:t xml:space="preserve">y la continuidad de </w:t>
            </w:r>
            <w:r w:rsidR="032BBCFB" w:rsidRPr="5176D4DE">
              <w:rPr>
                <w:rFonts w:ascii="Arial" w:eastAsia="Arial" w:hAnsi="Arial" w:cs="Arial"/>
              </w:rPr>
              <w:t xml:space="preserve">las </w:t>
            </w:r>
            <w:r w:rsidRPr="5176D4DE">
              <w:rPr>
                <w:rFonts w:ascii="Arial" w:eastAsia="Arial" w:hAnsi="Arial" w:cs="Arial"/>
              </w:rPr>
              <w:t>obras</w:t>
            </w:r>
            <w:r w:rsidR="04751AD6" w:rsidRPr="5176D4DE">
              <w:rPr>
                <w:rFonts w:ascii="Arial" w:eastAsia="Arial" w:hAnsi="Arial" w:cs="Arial"/>
              </w:rPr>
              <w:t xml:space="preserve"> programadas</w:t>
            </w:r>
            <w:r w:rsidRPr="5176D4DE">
              <w:rPr>
                <w:rFonts w:ascii="Arial" w:eastAsia="Arial" w:hAnsi="Arial" w:cs="Arial"/>
              </w:rPr>
              <w:t xml:space="preserve">. La creación de </w:t>
            </w:r>
            <w:r w:rsidR="611819E2" w:rsidRPr="5176D4DE">
              <w:rPr>
                <w:rFonts w:ascii="Arial" w:eastAsia="Arial" w:hAnsi="Arial" w:cs="Arial"/>
              </w:rPr>
              <w:t xml:space="preserve">un modelo de gestión </w:t>
            </w:r>
            <w:r w:rsidR="61700129" w:rsidRPr="5176D4DE">
              <w:rPr>
                <w:rFonts w:ascii="Arial" w:eastAsia="Arial" w:hAnsi="Arial" w:cs="Arial"/>
              </w:rPr>
              <w:t>con equipos</w:t>
            </w:r>
            <w:r w:rsidRPr="5176D4DE">
              <w:rPr>
                <w:rFonts w:ascii="Arial" w:eastAsia="Arial" w:hAnsi="Arial" w:cs="Arial"/>
              </w:rPr>
              <w:t xml:space="preserve"> técnicos regionales</w:t>
            </w:r>
            <w:r w:rsidR="25484C91" w:rsidRPr="5176D4DE">
              <w:rPr>
                <w:rFonts w:ascii="Arial" w:eastAsia="Arial" w:hAnsi="Arial" w:cs="Arial"/>
              </w:rPr>
              <w:t xml:space="preserve"> y del nivel </w:t>
            </w:r>
            <w:r w:rsidR="00E55E56">
              <w:rPr>
                <w:rFonts w:ascii="Arial" w:eastAsia="Arial" w:hAnsi="Arial" w:cs="Arial"/>
              </w:rPr>
              <w:t>nacional del MOP</w:t>
            </w:r>
            <w:r w:rsidR="75D9F425" w:rsidRPr="5176D4DE">
              <w:rPr>
                <w:rFonts w:ascii="Arial" w:eastAsia="Arial" w:hAnsi="Arial" w:cs="Arial"/>
              </w:rPr>
              <w:t xml:space="preserve"> permitió</w:t>
            </w:r>
            <w:r w:rsidR="716BAA14" w:rsidRPr="5176D4DE">
              <w:rPr>
                <w:rFonts w:ascii="Arial" w:eastAsia="Arial" w:hAnsi="Arial" w:cs="Arial"/>
              </w:rPr>
              <w:t xml:space="preserve"> que </w:t>
            </w:r>
            <w:r w:rsidR="00E55E56">
              <w:rPr>
                <w:rFonts w:ascii="Arial" w:eastAsia="Arial" w:hAnsi="Arial" w:cs="Arial"/>
              </w:rPr>
              <w:t xml:space="preserve">los </w:t>
            </w:r>
            <w:r w:rsidRPr="5176D4DE">
              <w:rPr>
                <w:rFonts w:ascii="Arial" w:eastAsia="Arial" w:hAnsi="Arial" w:cs="Arial"/>
              </w:rPr>
              <w:t xml:space="preserve">profesionales territoriales </w:t>
            </w:r>
            <w:r w:rsidR="00E55E56">
              <w:rPr>
                <w:rFonts w:ascii="Arial" w:eastAsia="Arial" w:hAnsi="Arial" w:cs="Arial"/>
              </w:rPr>
              <w:t>optimizaran</w:t>
            </w:r>
            <w:r w:rsidR="319B9E36" w:rsidRPr="5176D4DE">
              <w:rPr>
                <w:rFonts w:ascii="Arial" w:eastAsia="Arial" w:hAnsi="Arial" w:cs="Arial"/>
              </w:rPr>
              <w:t xml:space="preserve"> los tiempos de respuesta y </w:t>
            </w:r>
            <w:r w:rsidR="686E5D40" w:rsidRPr="5176D4DE">
              <w:rPr>
                <w:rFonts w:ascii="Arial" w:eastAsia="Arial" w:hAnsi="Arial" w:cs="Arial"/>
              </w:rPr>
              <w:t>gestión</w:t>
            </w:r>
            <w:r w:rsidR="319B9E36" w:rsidRPr="5176D4DE">
              <w:rPr>
                <w:rFonts w:ascii="Arial" w:eastAsia="Arial" w:hAnsi="Arial" w:cs="Arial"/>
              </w:rPr>
              <w:t xml:space="preserve"> de forma permanente</w:t>
            </w:r>
            <w:r w:rsidR="00E55E56">
              <w:rPr>
                <w:rFonts w:ascii="Arial" w:eastAsia="Arial" w:hAnsi="Arial" w:cs="Arial"/>
              </w:rPr>
              <w:t>,</w:t>
            </w:r>
            <w:r w:rsidR="319B9E36" w:rsidRPr="5176D4DE">
              <w:rPr>
                <w:rFonts w:ascii="Arial" w:eastAsia="Arial" w:hAnsi="Arial" w:cs="Arial"/>
              </w:rPr>
              <w:t xml:space="preserve"> </w:t>
            </w:r>
            <w:r w:rsidR="004A20C1">
              <w:rPr>
                <w:rFonts w:ascii="Arial" w:eastAsia="Arial" w:hAnsi="Arial" w:cs="Arial"/>
              </w:rPr>
              <w:t>consolidando un modelo de</w:t>
            </w:r>
            <w:r w:rsidRPr="5176D4DE">
              <w:rPr>
                <w:rFonts w:ascii="Arial" w:eastAsia="Arial" w:hAnsi="Arial" w:cs="Arial"/>
              </w:rPr>
              <w:t xml:space="preserve"> </w:t>
            </w:r>
            <w:r w:rsidR="3E7D229A" w:rsidRPr="5176D4DE">
              <w:rPr>
                <w:rFonts w:ascii="Arial" w:eastAsia="Arial" w:hAnsi="Arial" w:cs="Arial"/>
              </w:rPr>
              <w:t>gestión cercan</w:t>
            </w:r>
            <w:r w:rsidR="004A20C1">
              <w:rPr>
                <w:rFonts w:ascii="Arial" w:eastAsia="Arial" w:hAnsi="Arial" w:cs="Arial"/>
              </w:rPr>
              <w:t xml:space="preserve">o, dinámico, </w:t>
            </w:r>
            <w:r w:rsidR="004A20C1" w:rsidRPr="5176D4DE">
              <w:rPr>
                <w:rFonts w:ascii="Arial" w:eastAsia="Arial" w:hAnsi="Arial" w:cs="Arial"/>
              </w:rPr>
              <w:t>adecuad</w:t>
            </w:r>
            <w:r w:rsidR="004A20C1">
              <w:rPr>
                <w:rFonts w:ascii="Arial" w:eastAsia="Arial" w:hAnsi="Arial" w:cs="Arial"/>
              </w:rPr>
              <w:t>o</w:t>
            </w:r>
            <w:r w:rsidR="004A20C1" w:rsidRPr="5176D4DE">
              <w:rPr>
                <w:rFonts w:ascii="Arial" w:eastAsia="Arial" w:hAnsi="Arial" w:cs="Arial"/>
              </w:rPr>
              <w:t xml:space="preserve"> al territorio</w:t>
            </w:r>
            <w:r w:rsidR="004A20C1">
              <w:rPr>
                <w:rFonts w:ascii="Arial" w:eastAsia="Arial" w:hAnsi="Arial" w:cs="Arial"/>
              </w:rPr>
              <w:t xml:space="preserve"> y articulado</w:t>
            </w:r>
            <w:r w:rsidRPr="5176D4DE">
              <w:rPr>
                <w:rFonts w:ascii="Arial" w:eastAsia="Arial" w:hAnsi="Arial" w:cs="Arial"/>
              </w:rPr>
              <w:t xml:space="preserve"> con las realidades locales.</w:t>
            </w:r>
          </w:p>
          <w:p w14:paraId="38F59D30" w14:textId="15EDA03A" w:rsidR="7F36F837" w:rsidRDefault="4BE68718" w:rsidP="09707CB3">
            <w:pPr>
              <w:spacing w:before="240" w:after="240"/>
              <w:rPr>
                <w:rFonts w:ascii="Arial" w:eastAsia="Arial" w:hAnsi="Arial" w:cs="Arial"/>
              </w:rPr>
            </w:pPr>
            <w:r w:rsidRPr="005C7D10">
              <w:rPr>
                <w:rFonts w:ascii="Arial" w:eastAsia="Arial" w:hAnsi="Arial" w:cs="Arial"/>
              </w:rPr>
              <w:t xml:space="preserve">Otro problema que comenzó a ser abordado en el mismo período corresponde a la barrera para el asentamiento de las comunidades beneficiarias de compras 20B de CONADI que implica la falta de bienes públicos que les </w:t>
            </w:r>
            <w:r w:rsidR="65E49543" w:rsidRPr="005C7D10">
              <w:rPr>
                <w:rFonts w:ascii="Arial" w:eastAsia="Arial" w:hAnsi="Arial" w:cs="Arial"/>
              </w:rPr>
              <w:t>habiliten para</w:t>
            </w:r>
            <w:r w:rsidRPr="005C7D10">
              <w:rPr>
                <w:rFonts w:ascii="Arial" w:eastAsia="Arial" w:hAnsi="Arial" w:cs="Arial"/>
              </w:rPr>
              <w:t xml:space="preserve"> desarrollar sus proyectos de desarrollo comunitarios. Dada la </w:t>
            </w:r>
            <w:r w:rsidR="53A228EB" w:rsidRPr="005C7D10">
              <w:rPr>
                <w:rFonts w:ascii="Arial" w:eastAsia="Arial" w:hAnsi="Arial" w:cs="Arial"/>
              </w:rPr>
              <w:t>complejidad</w:t>
            </w:r>
            <w:r w:rsidRPr="005C7D10">
              <w:rPr>
                <w:rFonts w:ascii="Arial" w:eastAsia="Arial" w:hAnsi="Arial" w:cs="Arial"/>
              </w:rPr>
              <w:t xml:space="preserve"> y carácter interdisciplinario e interinstitucional, se comenzó con el desarrollo de 4 proyectos piloto de infraestructura asociados a las compras</w:t>
            </w:r>
            <w:r w:rsidR="1932C0D7" w:rsidRPr="005C7D10">
              <w:rPr>
                <w:rFonts w:ascii="Arial" w:eastAsia="Arial" w:hAnsi="Arial" w:cs="Arial"/>
              </w:rPr>
              <w:t xml:space="preserve"> </w:t>
            </w:r>
            <w:r w:rsidR="0E48829F" w:rsidRPr="005C7D10">
              <w:rPr>
                <w:rFonts w:ascii="Arial" w:eastAsia="Arial" w:hAnsi="Arial" w:cs="Arial"/>
              </w:rPr>
              <w:t>efectuadas</w:t>
            </w:r>
            <w:r w:rsidR="1932C0D7" w:rsidRPr="005C7D10">
              <w:rPr>
                <w:rFonts w:ascii="Arial" w:eastAsia="Arial" w:hAnsi="Arial" w:cs="Arial"/>
              </w:rPr>
              <w:t xml:space="preserve"> desde el</w:t>
            </w:r>
            <w:r w:rsidRPr="005C7D10">
              <w:rPr>
                <w:rFonts w:ascii="Arial" w:eastAsia="Arial" w:hAnsi="Arial" w:cs="Arial"/>
              </w:rPr>
              <w:t xml:space="preserve"> 2022. Además de haberse ejecutado </w:t>
            </w:r>
            <w:r w:rsidR="0508E1AC" w:rsidRPr="005C7D10">
              <w:rPr>
                <w:rFonts w:ascii="Arial" w:eastAsia="Arial" w:hAnsi="Arial" w:cs="Arial"/>
              </w:rPr>
              <w:t xml:space="preserve">17 </w:t>
            </w:r>
            <w:r w:rsidRPr="005C7D10">
              <w:rPr>
                <w:rFonts w:ascii="Arial" w:eastAsia="Arial" w:hAnsi="Arial" w:cs="Arial"/>
              </w:rPr>
              <w:t xml:space="preserve">Km de </w:t>
            </w:r>
            <w:r w:rsidR="004A20C1" w:rsidRPr="005C7D10">
              <w:rPr>
                <w:rFonts w:ascii="Arial" w:eastAsia="Arial" w:hAnsi="Arial" w:cs="Arial"/>
              </w:rPr>
              <w:t>caminos</w:t>
            </w:r>
            <w:r w:rsidRPr="005C7D10">
              <w:rPr>
                <w:rFonts w:ascii="Arial" w:eastAsia="Arial" w:hAnsi="Arial" w:cs="Arial"/>
              </w:rPr>
              <w:t xml:space="preserve"> y beneficiar a </w:t>
            </w:r>
            <w:r w:rsidR="4B005EE8" w:rsidRPr="005C7D10">
              <w:rPr>
                <w:rFonts w:ascii="Arial" w:eastAsia="Arial" w:hAnsi="Arial" w:cs="Arial"/>
              </w:rPr>
              <w:t>200</w:t>
            </w:r>
            <w:r w:rsidRPr="005C7D10">
              <w:rPr>
                <w:rFonts w:ascii="Arial" w:eastAsia="Arial" w:hAnsi="Arial" w:cs="Arial"/>
              </w:rPr>
              <w:t xml:space="preserve"> familias, estos pilotos han permitido generar nuevos instrumentos para abordar la problemática de manera más efectiva. El fortalecimiento de las Glosas Presupuestarias del PIBV para la realización de inversión pública en propiedad indígena, la </w:t>
            </w:r>
            <w:r w:rsidR="00CC1799" w:rsidRPr="005C7D10">
              <w:rPr>
                <w:rFonts w:ascii="Arial" w:eastAsia="Arial" w:hAnsi="Arial" w:cs="Arial"/>
              </w:rPr>
              <w:t xml:space="preserve">declaración de interés público </w:t>
            </w:r>
            <w:r w:rsidR="001E07E3" w:rsidRPr="005C7D10">
              <w:rPr>
                <w:rFonts w:ascii="Arial" w:eastAsia="Arial" w:hAnsi="Arial" w:cs="Arial"/>
              </w:rPr>
              <w:t xml:space="preserve">y puesta en marcha </w:t>
            </w:r>
            <w:r w:rsidRPr="005C7D10">
              <w:rPr>
                <w:rFonts w:ascii="Arial" w:eastAsia="Arial" w:hAnsi="Arial" w:cs="Arial"/>
              </w:rPr>
              <w:t xml:space="preserve">de </w:t>
            </w:r>
            <w:r w:rsidR="00CC1799" w:rsidRPr="005C7D10">
              <w:rPr>
                <w:rFonts w:ascii="Arial" w:eastAsia="Arial" w:hAnsi="Arial" w:cs="Arial"/>
              </w:rPr>
              <w:t xml:space="preserve">una nueva tipología de </w:t>
            </w:r>
            <w:r w:rsidRPr="005C7D10">
              <w:rPr>
                <w:rFonts w:ascii="Arial" w:eastAsia="Arial" w:hAnsi="Arial" w:cs="Arial"/>
              </w:rPr>
              <w:t>obras denominadas como Aguas Comunitarias y los nuevos concursos para colaborar con entidades privadas son resultado de este proceso</w:t>
            </w:r>
            <w:r w:rsidR="0D54FB64" w:rsidRPr="005C7D10">
              <w:rPr>
                <w:rFonts w:ascii="Arial" w:eastAsia="Arial" w:hAnsi="Arial" w:cs="Arial"/>
              </w:rPr>
              <w:t>.</w:t>
            </w:r>
          </w:p>
          <w:p w14:paraId="5D1A2BC5" w14:textId="14249DD3" w:rsidR="12C4E2E6" w:rsidRDefault="09DB259B" w:rsidP="09707CB3">
            <w:pPr>
              <w:spacing w:before="240" w:after="240"/>
              <w:rPr>
                <w:rFonts w:ascii="Arial" w:eastAsia="Arial" w:hAnsi="Arial" w:cs="Arial"/>
              </w:rPr>
            </w:pPr>
            <w:r w:rsidRPr="5176D4DE">
              <w:rPr>
                <w:rFonts w:ascii="Arial" w:eastAsia="Arial" w:hAnsi="Arial" w:cs="Arial"/>
              </w:rPr>
              <w:t>Los result</w:t>
            </w:r>
            <w:r w:rsidR="004A20C1">
              <w:rPr>
                <w:rFonts w:ascii="Arial" w:eastAsia="Arial" w:hAnsi="Arial" w:cs="Arial"/>
              </w:rPr>
              <w:t>ados obtenidos entre 2022 y 2025</w:t>
            </w:r>
            <w:r w:rsidRPr="5176D4DE">
              <w:rPr>
                <w:rFonts w:ascii="Arial" w:eastAsia="Arial" w:hAnsi="Arial" w:cs="Arial"/>
              </w:rPr>
              <w:t xml:space="preserve"> evidencian un avance sostenido en la reducción de brechas. En comparación con 2022</w:t>
            </w:r>
            <w:r w:rsidR="25DFCFAD" w:rsidRPr="5176D4DE">
              <w:rPr>
                <w:rFonts w:ascii="Arial" w:eastAsia="Arial" w:hAnsi="Arial" w:cs="Arial"/>
              </w:rPr>
              <w:t xml:space="preserve"> y re</w:t>
            </w:r>
            <w:r w:rsidR="004A20C1">
              <w:rPr>
                <w:rFonts w:ascii="Arial" w:eastAsia="Arial" w:hAnsi="Arial" w:cs="Arial"/>
              </w:rPr>
              <w:t>specto</w:t>
            </w:r>
            <w:r w:rsidR="25DFCFAD" w:rsidRPr="5176D4DE">
              <w:rPr>
                <w:rFonts w:ascii="Arial" w:eastAsia="Arial" w:hAnsi="Arial" w:cs="Arial"/>
              </w:rPr>
              <w:t xml:space="preserve"> a las </w:t>
            </w:r>
            <w:r w:rsidR="004A20C1">
              <w:rPr>
                <w:rFonts w:ascii="Arial" w:eastAsia="Arial" w:hAnsi="Arial" w:cs="Arial"/>
              </w:rPr>
              <w:t>cuatro</w:t>
            </w:r>
            <w:r w:rsidR="25DFCFAD" w:rsidRPr="5176D4DE">
              <w:rPr>
                <w:rFonts w:ascii="Arial" w:eastAsia="Arial" w:hAnsi="Arial" w:cs="Arial"/>
              </w:rPr>
              <w:t xml:space="preserve"> regiones que abarca el programa</w:t>
            </w:r>
            <w:r w:rsidRPr="5176D4DE">
              <w:rPr>
                <w:rFonts w:ascii="Arial" w:eastAsia="Arial" w:hAnsi="Arial" w:cs="Arial"/>
              </w:rPr>
              <w:t xml:space="preserve">, </w:t>
            </w:r>
            <w:r w:rsidR="004A20C1" w:rsidRPr="5176D4DE">
              <w:rPr>
                <w:rFonts w:ascii="Arial" w:eastAsia="Arial" w:hAnsi="Arial" w:cs="Arial"/>
              </w:rPr>
              <w:t xml:space="preserve">el PIBV financió la conservación de </w:t>
            </w:r>
            <w:r w:rsidR="001E07E3">
              <w:rPr>
                <w:rFonts w:ascii="Arial" w:eastAsia="Arial" w:hAnsi="Arial" w:cs="Arial"/>
              </w:rPr>
              <w:t>2</w:t>
            </w:r>
            <w:r w:rsidR="008C62C1">
              <w:rPr>
                <w:rFonts w:ascii="Arial" w:eastAsia="Arial" w:hAnsi="Arial" w:cs="Arial"/>
              </w:rPr>
              <w:t>.</w:t>
            </w:r>
            <w:r w:rsidR="001E07E3">
              <w:rPr>
                <w:rFonts w:ascii="Arial" w:eastAsia="Arial" w:hAnsi="Arial" w:cs="Arial"/>
              </w:rPr>
              <w:t>836</w:t>
            </w:r>
            <w:r w:rsidR="00752650">
              <w:rPr>
                <w:rFonts w:ascii="Arial" w:eastAsia="Arial" w:hAnsi="Arial" w:cs="Arial"/>
              </w:rPr>
              <w:t xml:space="preserve"> </w:t>
            </w:r>
            <w:r w:rsidR="004A20C1" w:rsidRPr="5176D4DE">
              <w:rPr>
                <w:rFonts w:ascii="Arial" w:eastAsia="Arial" w:hAnsi="Arial" w:cs="Arial"/>
              </w:rPr>
              <w:t>kilómetros</w:t>
            </w:r>
            <w:r w:rsidR="004A20C1">
              <w:rPr>
                <w:rFonts w:ascii="Arial" w:eastAsia="Arial" w:hAnsi="Arial" w:cs="Arial"/>
              </w:rPr>
              <w:t xml:space="preserve"> de</w:t>
            </w:r>
            <w:r w:rsidR="004A20C1" w:rsidRPr="5176D4DE">
              <w:rPr>
                <w:rFonts w:ascii="Arial" w:eastAsia="Arial" w:hAnsi="Arial" w:cs="Arial"/>
              </w:rPr>
              <w:t xml:space="preserve"> </w:t>
            </w:r>
            <w:r w:rsidRPr="5176D4DE">
              <w:rPr>
                <w:rFonts w:ascii="Arial" w:eastAsia="Arial" w:hAnsi="Arial" w:cs="Arial"/>
              </w:rPr>
              <w:t xml:space="preserve">la red vial pavimentada </w:t>
            </w:r>
            <w:r w:rsidR="6CF8338E" w:rsidRPr="5176D4DE">
              <w:rPr>
                <w:rFonts w:ascii="Arial" w:eastAsia="Arial" w:hAnsi="Arial" w:cs="Arial"/>
              </w:rPr>
              <w:t>y caminos en comunidades indígenas</w:t>
            </w:r>
            <w:r w:rsidR="55545773" w:rsidRPr="5176D4DE">
              <w:rPr>
                <w:rFonts w:ascii="Arial" w:eastAsia="Arial" w:hAnsi="Arial" w:cs="Arial"/>
              </w:rPr>
              <w:t xml:space="preserve">, reduciendo así un </w:t>
            </w:r>
            <w:r w:rsidR="008C62C1">
              <w:rPr>
                <w:rFonts w:ascii="Arial" w:eastAsia="Arial" w:hAnsi="Arial" w:cs="Arial"/>
              </w:rPr>
              <w:t>8,4%</w:t>
            </w:r>
            <w:r w:rsidR="55545773" w:rsidRPr="5176D4DE">
              <w:rPr>
                <w:rFonts w:ascii="Arial" w:eastAsia="Arial" w:hAnsi="Arial" w:cs="Arial"/>
              </w:rPr>
              <w:t xml:space="preserve"> </w:t>
            </w:r>
            <w:r w:rsidR="004A20C1">
              <w:rPr>
                <w:rFonts w:ascii="Arial" w:eastAsia="Arial" w:hAnsi="Arial" w:cs="Arial"/>
              </w:rPr>
              <w:t xml:space="preserve">de </w:t>
            </w:r>
            <w:r w:rsidR="55545773" w:rsidRPr="5176D4DE">
              <w:rPr>
                <w:rFonts w:ascii="Arial" w:eastAsia="Arial" w:hAnsi="Arial" w:cs="Arial"/>
              </w:rPr>
              <w:t>la brecha detectada en 2022.</w:t>
            </w:r>
            <w:r w:rsidR="7443D491" w:rsidRPr="5176D4DE">
              <w:rPr>
                <w:rFonts w:ascii="Arial" w:eastAsia="Arial" w:hAnsi="Arial" w:cs="Arial"/>
              </w:rPr>
              <w:t xml:space="preserve"> Luego, en cuanto a la cobertura de agua potable ru</w:t>
            </w:r>
            <w:r w:rsidR="61EA3083" w:rsidRPr="5176D4DE">
              <w:rPr>
                <w:rFonts w:ascii="Arial" w:eastAsia="Arial" w:hAnsi="Arial" w:cs="Arial"/>
              </w:rPr>
              <w:t>r</w:t>
            </w:r>
            <w:r w:rsidR="7443D491" w:rsidRPr="5176D4DE">
              <w:rPr>
                <w:rFonts w:ascii="Arial" w:eastAsia="Arial" w:hAnsi="Arial" w:cs="Arial"/>
              </w:rPr>
              <w:t xml:space="preserve">al, se </w:t>
            </w:r>
            <w:r w:rsidR="00752650">
              <w:rPr>
                <w:rFonts w:ascii="Arial" w:eastAsia="Arial" w:hAnsi="Arial" w:cs="Arial"/>
              </w:rPr>
              <w:t>invirtió en contrato de construcción de 1</w:t>
            </w:r>
            <w:r w:rsidR="001E07E3">
              <w:rPr>
                <w:rFonts w:ascii="Arial" w:eastAsia="Arial" w:hAnsi="Arial" w:cs="Arial"/>
              </w:rPr>
              <w:t>9.131</w:t>
            </w:r>
            <w:r w:rsidR="00752650">
              <w:rPr>
                <w:rFonts w:ascii="Arial" w:eastAsia="Arial" w:hAnsi="Arial" w:cs="Arial"/>
              </w:rPr>
              <w:t xml:space="preserve"> </w:t>
            </w:r>
            <w:r w:rsidR="6591F6D1" w:rsidRPr="5176D4DE">
              <w:rPr>
                <w:rFonts w:ascii="Arial" w:eastAsia="Arial" w:hAnsi="Arial" w:cs="Arial"/>
              </w:rPr>
              <w:t xml:space="preserve"> arranques nuevos, logrando así reducir la brecha identificada en un </w:t>
            </w:r>
            <w:r w:rsidR="008C62C1">
              <w:rPr>
                <w:rFonts w:ascii="Arial" w:eastAsia="Arial" w:hAnsi="Arial" w:cs="Arial"/>
              </w:rPr>
              <w:t>3,6</w:t>
            </w:r>
            <w:r w:rsidR="5D0AE342" w:rsidRPr="5176D4DE">
              <w:rPr>
                <w:rFonts w:ascii="Arial" w:eastAsia="Arial" w:hAnsi="Arial" w:cs="Arial"/>
              </w:rPr>
              <w:t>%. En</w:t>
            </w:r>
            <w:r w:rsidR="5A69EDB0" w:rsidRPr="5176D4DE">
              <w:rPr>
                <w:rFonts w:ascii="Arial" w:eastAsia="Arial" w:hAnsi="Arial" w:cs="Arial"/>
              </w:rPr>
              <w:t xml:space="preserve"> suma, la reducción de brechas mencionadas </w:t>
            </w:r>
            <w:r w:rsidR="67693530" w:rsidRPr="5176D4DE">
              <w:rPr>
                <w:rFonts w:ascii="Arial" w:eastAsia="Arial" w:hAnsi="Arial" w:cs="Arial"/>
              </w:rPr>
              <w:t>ha beneficiado</w:t>
            </w:r>
            <w:r w:rsidR="46088212" w:rsidRPr="5176D4DE">
              <w:rPr>
                <w:rFonts w:ascii="Arial" w:eastAsia="Arial" w:hAnsi="Arial" w:cs="Arial"/>
              </w:rPr>
              <w:t xml:space="preserve"> a</w:t>
            </w:r>
            <w:r w:rsidRPr="5176D4DE">
              <w:rPr>
                <w:rFonts w:ascii="Arial" w:eastAsia="Arial" w:hAnsi="Arial" w:cs="Arial"/>
              </w:rPr>
              <w:t xml:space="preserve"> </w:t>
            </w:r>
            <w:r w:rsidR="008C62C1">
              <w:rPr>
                <w:rFonts w:ascii="Arial" w:eastAsia="Arial" w:hAnsi="Arial" w:cs="Arial"/>
              </w:rPr>
              <w:t xml:space="preserve">371,6 mil </w:t>
            </w:r>
            <w:r w:rsidRPr="5176D4DE">
              <w:rPr>
                <w:rFonts w:ascii="Arial" w:eastAsia="Arial" w:hAnsi="Arial" w:cs="Arial"/>
              </w:rPr>
              <w:t xml:space="preserve">personas adicionales. </w:t>
            </w:r>
          </w:p>
          <w:p w14:paraId="78C43328" w14:textId="58E9C27C" w:rsidR="12C4E2E6" w:rsidRDefault="09DB259B" w:rsidP="26884720">
            <w:pPr>
              <w:spacing w:before="240" w:after="240"/>
            </w:pPr>
            <w:r w:rsidRPr="5176D4DE">
              <w:rPr>
                <w:rFonts w:ascii="Arial" w:eastAsia="Arial" w:hAnsi="Arial" w:cs="Arial"/>
              </w:rPr>
              <w:t xml:space="preserve">Estos avances muestran una respuesta directa a las brechas </w:t>
            </w:r>
            <w:r w:rsidR="533D9C0E" w:rsidRPr="5176D4DE">
              <w:rPr>
                <w:rFonts w:ascii="Arial" w:eastAsia="Arial" w:hAnsi="Arial" w:cs="Arial"/>
              </w:rPr>
              <w:t xml:space="preserve">existentes </w:t>
            </w:r>
            <w:r w:rsidRPr="5176D4DE">
              <w:rPr>
                <w:rFonts w:ascii="Arial" w:eastAsia="Arial" w:hAnsi="Arial" w:cs="Arial"/>
              </w:rPr>
              <w:t>en 2022, mediante una estrategia de inversión coordinada, sostenida y con enfoque territorial, que fortaleció la capacidad estatal en la macrozona sur y mejoró el acceso de las comunidades rurales e indígenas a infraestructura básica y servicios esenciales.</w:t>
            </w:r>
          </w:p>
        </w:tc>
      </w:tr>
    </w:tbl>
    <w:p w14:paraId="3B4596A2" w14:textId="515234B3" w:rsidR="12C4E2E6" w:rsidRDefault="12C4E2E6" w:rsidP="12C4E2E6">
      <w:pPr>
        <w:spacing w:after="0" w:line="240" w:lineRule="auto"/>
        <w:rPr>
          <w:rFonts w:ascii="Arial" w:hAnsi="Arial" w:cs="Arial"/>
          <w:sz w:val="24"/>
          <w:szCs w:val="24"/>
        </w:rPr>
      </w:pPr>
    </w:p>
    <w:p w14:paraId="3D250CB6" w14:textId="77777777" w:rsidR="00AC1CD4" w:rsidRPr="00AC1CD4" w:rsidRDefault="00AC1CD4" w:rsidP="0080745A">
      <w:pPr>
        <w:spacing w:after="0" w:line="240" w:lineRule="auto"/>
        <w:rPr>
          <w:rFonts w:ascii="Arial" w:hAnsi="Arial" w:cs="Arial"/>
          <w:bCs/>
          <w:sz w:val="24"/>
          <w:szCs w:val="24"/>
        </w:rPr>
      </w:pPr>
    </w:p>
    <w:p w14:paraId="6B13A63E" w14:textId="7348B40C" w:rsidR="001B4265" w:rsidRPr="007A6156" w:rsidRDefault="00A52E22" w:rsidP="001B4265">
      <w:pPr>
        <w:pStyle w:val="Ttulo1"/>
        <w:rPr>
          <w:rFonts w:ascii="Arial" w:hAnsi="Arial" w:cs="Arial"/>
          <w:color w:val="002060"/>
        </w:rPr>
      </w:pPr>
      <w:bookmarkStart w:id="4" w:name="_Toc213772447"/>
      <w:r w:rsidRPr="007A6156">
        <w:rPr>
          <w:rFonts w:ascii="Arial" w:hAnsi="Arial" w:cs="Arial"/>
          <w:color w:val="002060"/>
        </w:rPr>
        <w:t>Dificultades y aprendizajes</w:t>
      </w:r>
      <w:bookmarkEnd w:id="4"/>
    </w:p>
    <w:p w14:paraId="2822C85D" w14:textId="77777777" w:rsidR="001B4265" w:rsidRPr="00AC1CD4" w:rsidRDefault="001B4265" w:rsidP="001B4265">
      <w:pPr>
        <w:rPr>
          <w:rFonts w:ascii="Arial" w:hAnsi="Arial" w:cs="Arial"/>
        </w:rPr>
      </w:pPr>
    </w:p>
    <w:tbl>
      <w:tblPr>
        <w:tblStyle w:val="Tablaconcuadrcula"/>
        <w:tblW w:w="0" w:type="auto"/>
        <w:tblLayout w:type="fixed"/>
        <w:tblLook w:val="06A0" w:firstRow="1" w:lastRow="0" w:firstColumn="1" w:lastColumn="0" w:noHBand="1" w:noVBand="1"/>
      </w:tblPr>
      <w:tblGrid>
        <w:gridCol w:w="9495"/>
      </w:tblGrid>
      <w:tr w:rsidR="0AA20D7F" w14:paraId="0542A505" w14:textId="77777777" w:rsidTr="5176D4DE">
        <w:trPr>
          <w:trHeight w:val="630"/>
        </w:trPr>
        <w:tc>
          <w:tcPr>
            <w:tcW w:w="9495" w:type="dxa"/>
          </w:tcPr>
          <w:p w14:paraId="02842B37" w14:textId="4A0A1532" w:rsidR="658E0A15" w:rsidRDefault="054F3215" w:rsidP="4742C33E">
            <w:pPr>
              <w:spacing w:before="240" w:after="240"/>
              <w:rPr>
                <w:rFonts w:ascii="Arial" w:eastAsia="Arial" w:hAnsi="Arial" w:cs="Arial"/>
              </w:rPr>
            </w:pPr>
            <w:r w:rsidRPr="5176D4DE">
              <w:rPr>
                <w:rFonts w:ascii="Arial" w:eastAsia="Arial" w:hAnsi="Arial" w:cs="Arial"/>
              </w:rPr>
              <w:lastRenderedPageBreak/>
              <w:t>Durante su implementación, el Programa de Infraestructura para el Buen Vivir (PIBV) enfrentó desafíos propios de su instalación y consolidación como</w:t>
            </w:r>
            <w:r w:rsidR="30EF1311" w:rsidRPr="5176D4DE">
              <w:rPr>
                <w:rFonts w:ascii="Arial" w:eastAsia="Arial" w:hAnsi="Arial" w:cs="Arial"/>
              </w:rPr>
              <w:t xml:space="preserve"> instrumento de</w:t>
            </w:r>
            <w:r w:rsidRPr="5176D4DE">
              <w:rPr>
                <w:rFonts w:ascii="Arial" w:eastAsia="Arial" w:hAnsi="Arial" w:cs="Arial"/>
              </w:rPr>
              <w:t xml:space="preserve"> política pública. Las principales dificultades se relacionaron con la ausencia de focalización territorial</w:t>
            </w:r>
            <w:r w:rsidR="3C9167F2" w:rsidRPr="5176D4DE">
              <w:rPr>
                <w:rFonts w:ascii="Arial" w:eastAsia="Arial" w:hAnsi="Arial" w:cs="Arial"/>
              </w:rPr>
              <w:t xml:space="preserve"> en los instrumentos</w:t>
            </w:r>
            <w:r w:rsidR="5879F7C2" w:rsidRPr="5176D4DE">
              <w:rPr>
                <w:rFonts w:ascii="Arial" w:eastAsia="Arial" w:hAnsi="Arial" w:cs="Arial"/>
              </w:rPr>
              <w:t xml:space="preserve"> y su </w:t>
            </w:r>
            <w:r w:rsidR="0CF93D99" w:rsidRPr="5176D4DE">
              <w:rPr>
                <w:rFonts w:ascii="Arial" w:eastAsia="Arial" w:hAnsi="Arial" w:cs="Arial"/>
              </w:rPr>
              <w:t xml:space="preserve">nula orientación para atender necesidades de </w:t>
            </w:r>
            <w:r w:rsidR="5879F7C2" w:rsidRPr="5176D4DE">
              <w:rPr>
                <w:rFonts w:ascii="Arial" w:eastAsia="Arial" w:hAnsi="Arial" w:cs="Arial"/>
              </w:rPr>
              <w:t xml:space="preserve">comunidades </w:t>
            </w:r>
            <w:r w:rsidR="2886E0A7" w:rsidRPr="5176D4DE">
              <w:rPr>
                <w:rFonts w:ascii="Arial" w:eastAsia="Arial" w:hAnsi="Arial" w:cs="Arial"/>
              </w:rPr>
              <w:t xml:space="preserve">de baja densidad </w:t>
            </w:r>
            <w:r w:rsidR="29F5DF9C" w:rsidRPr="5176D4DE">
              <w:rPr>
                <w:rFonts w:ascii="Arial" w:eastAsia="Arial" w:hAnsi="Arial" w:cs="Arial"/>
              </w:rPr>
              <w:t xml:space="preserve">de población </w:t>
            </w:r>
            <w:r w:rsidR="2886E0A7" w:rsidRPr="5176D4DE">
              <w:rPr>
                <w:rFonts w:ascii="Arial" w:eastAsia="Arial" w:hAnsi="Arial" w:cs="Arial"/>
              </w:rPr>
              <w:t xml:space="preserve">y/o </w:t>
            </w:r>
            <w:r w:rsidR="5879F7C2" w:rsidRPr="5176D4DE">
              <w:rPr>
                <w:rFonts w:ascii="Arial" w:eastAsia="Arial" w:hAnsi="Arial" w:cs="Arial"/>
              </w:rPr>
              <w:t>dispersas</w:t>
            </w:r>
            <w:r w:rsidRPr="5176D4DE">
              <w:rPr>
                <w:rFonts w:ascii="Arial" w:eastAsia="Arial" w:hAnsi="Arial" w:cs="Arial"/>
              </w:rPr>
              <w:t>,</w:t>
            </w:r>
            <w:r w:rsidR="49D533E8" w:rsidRPr="5176D4DE">
              <w:rPr>
                <w:rFonts w:ascii="Arial" w:eastAsia="Arial" w:hAnsi="Arial" w:cs="Arial"/>
              </w:rPr>
              <w:t xml:space="preserve"> </w:t>
            </w:r>
            <w:r w:rsidRPr="5176D4DE">
              <w:rPr>
                <w:rFonts w:ascii="Arial" w:eastAsia="Arial" w:hAnsi="Arial" w:cs="Arial"/>
              </w:rPr>
              <w:t xml:space="preserve">la rigidez presupuestaria, la </w:t>
            </w:r>
            <w:r w:rsidR="460DDF48" w:rsidRPr="5176D4DE">
              <w:rPr>
                <w:rFonts w:ascii="Arial" w:eastAsia="Arial" w:hAnsi="Arial" w:cs="Arial"/>
              </w:rPr>
              <w:t>fragmentación de las instituciones e instrumentos respecto de la problemática</w:t>
            </w:r>
            <w:r w:rsidR="789B9729" w:rsidRPr="5176D4DE">
              <w:rPr>
                <w:rFonts w:ascii="Arial" w:eastAsia="Arial" w:hAnsi="Arial" w:cs="Arial"/>
              </w:rPr>
              <w:t xml:space="preserve"> </w:t>
            </w:r>
            <w:r w:rsidR="6E5DD430" w:rsidRPr="5176D4DE">
              <w:rPr>
                <w:rFonts w:ascii="Arial" w:eastAsia="Arial" w:hAnsi="Arial" w:cs="Arial"/>
              </w:rPr>
              <w:t>y las</w:t>
            </w:r>
            <w:r w:rsidRPr="5176D4DE">
              <w:rPr>
                <w:rFonts w:ascii="Arial" w:eastAsia="Arial" w:hAnsi="Arial" w:cs="Arial"/>
              </w:rPr>
              <w:t xml:space="preserve"> contingencias derivadas de las condiciones climáticas y sociales de los territorios rurales e indígenas.</w:t>
            </w:r>
          </w:p>
          <w:p w14:paraId="07A1EC3B" w14:textId="5926114B" w:rsidR="658E0A15" w:rsidRDefault="054F3215" w:rsidP="4742C33E">
            <w:pPr>
              <w:spacing w:before="240" w:after="240"/>
              <w:rPr>
                <w:rFonts w:ascii="Arial" w:eastAsia="Arial" w:hAnsi="Arial" w:cs="Arial"/>
              </w:rPr>
            </w:pPr>
            <w:r w:rsidRPr="5176D4DE">
              <w:rPr>
                <w:rFonts w:ascii="Arial" w:eastAsia="Arial" w:hAnsi="Arial" w:cs="Arial"/>
              </w:rPr>
              <w:t xml:space="preserve">La falta de mecanismos formales para priorizar la inversión dificultó inicialmente la programación de obras. Este desafío dio origen a un modelo metodológico de identificación de brechas que permitió cuantificar y localizar, mediante información geoespacial, los déficits de infraestructura en agua potable rural y conectividad. Gracias a este levantamiento, </w:t>
            </w:r>
            <w:r w:rsidR="5B59BBBD" w:rsidRPr="5176D4DE">
              <w:rPr>
                <w:rFonts w:ascii="Arial" w:eastAsia="Arial" w:hAnsi="Arial" w:cs="Arial"/>
              </w:rPr>
              <w:t>se</w:t>
            </w:r>
            <w:r w:rsidRPr="5176D4DE">
              <w:rPr>
                <w:rFonts w:ascii="Arial" w:eastAsia="Arial" w:hAnsi="Arial" w:cs="Arial"/>
              </w:rPr>
              <w:t xml:space="preserve"> </w:t>
            </w:r>
            <w:r w:rsidR="2A360BD1" w:rsidRPr="5176D4DE">
              <w:rPr>
                <w:rFonts w:ascii="Arial" w:eastAsia="Arial" w:hAnsi="Arial" w:cs="Arial"/>
              </w:rPr>
              <w:t xml:space="preserve">generó </w:t>
            </w:r>
            <w:r w:rsidR="0244E0E1" w:rsidRPr="5176D4DE">
              <w:rPr>
                <w:rFonts w:ascii="Arial" w:eastAsia="Arial" w:hAnsi="Arial" w:cs="Arial"/>
              </w:rPr>
              <w:t xml:space="preserve">una </w:t>
            </w:r>
            <w:r w:rsidR="2A360BD1" w:rsidRPr="5176D4DE">
              <w:rPr>
                <w:rFonts w:ascii="Arial" w:eastAsia="Arial" w:hAnsi="Arial" w:cs="Arial"/>
              </w:rPr>
              <w:t>nueva oferta programática</w:t>
            </w:r>
            <w:r w:rsidR="264D727A" w:rsidRPr="5176D4DE">
              <w:rPr>
                <w:rFonts w:ascii="Arial" w:eastAsia="Arial" w:hAnsi="Arial" w:cs="Arial"/>
              </w:rPr>
              <w:t xml:space="preserve"> en infraestructura MOP (por ejemplo, en soluciones de aguas comunitarias para población dispersa, en contratos globales de conservación indígena</w:t>
            </w:r>
            <w:r w:rsidR="2A360BD1" w:rsidRPr="5176D4DE">
              <w:rPr>
                <w:rFonts w:ascii="Arial" w:eastAsia="Arial" w:hAnsi="Arial" w:cs="Arial"/>
              </w:rPr>
              <w:t xml:space="preserve"> </w:t>
            </w:r>
            <w:r w:rsidR="04F26EF8" w:rsidRPr="5176D4DE">
              <w:rPr>
                <w:rFonts w:ascii="Arial" w:eastAsia="Arial" w:hAnsi="Arial" w:cs="Arial"/>
              </w:rPr>
              <w:t xml:space="preserve">y en soluciones de caminos y agua para habitabilidad intrapredial indígena), con lo cual se ha </w:t>
            </w:r>
            <w:r w:rsidRPr="5176D4DE">
              <w:rPr>
                <w:rFonts w:ascii="Arial" w:eastAsia="Arial" w:hAnsi="Arial" w:cs="Arial"/>
              </w:rPr>
              <w:t>logr</w:t>
            </w:r>
            <w:r w:rsidR="4A215121" w:rsidRPr="5176D4DE">
              <w:rPr>
                <w:rFonts w:ascii="Arial" w:eastAsia="Arial" w:hAnsi="Arial" w:cs="Arial"/>
              </w:rPr>
              <w:t>a</w:t>
            </w:r>
            <w:r w:rsidR="5B0B6703" w:rsidRPr="5176D4DE">
              <w:rPr>
                <w:rFonts w:ascii="Arial" w:eastAsia="Arial" w:hAnsi="Arial" w:cs="Arial"/>
              </w:rPr>
              <w:t>do</w:t>
            </w:r>
            <w:r w:rsidR="352B3D91" w:rsidRPr="5176D4DE">
              <w:rPr>
                <w:rFonts w:ascii="Arial" w:eastAsia="Arial" w:hAnsi="Arial" w:cs="Arial"/>
              </w:rPr>
              <w:t xml:space="preserve"> generar nuevos instrumentos y aproximaciones metodológicas para</w:t>
            </w:r>
            <w:r w:rsidR="64C3BFA3" w:rsidRPr="5176D4DE">
              <w:rPr>
                <w:rFonts w:ascii="Arial" w:eastAsia="Arial" w:hAnsi="Arial" w:cs="Arial"/>
              </w:rPr>
              <w:t xml:space="preserve"> </w:t>
            </w:r>
            <w:r w:rsidRPr="5176D4DE">
              <w:rPr>
                <w:rFonts w:ascii="Arial" w:eastAsia="Arial" w:hAnsi="Arial" w:cs="Arial"/>
              </w:rPr>
              <w:t>llegar a segmentos históricamente sin cobertura, ampliando la base de atención de las políticas públicas y orientando la inversión hacia los sectores con mayor rezago.</w:t>
            </w:r>
          </w:p>
          <w:p w14:paraId="799E8885" w14:textId="104AA615" w:rsidR="658E0A15" w:rsidRDefault="054F3215" w:rsidP="4742C33E">
            <w:pPr>
              <w:spacing w:before="240" w:after="240"/>
              <w:rPr>
                <w:rFonts w:ascii="Arial" w:eastAsia="Arial" w:hAnsi="Arial" w:cs="Arial"/>
              </w:rPr>
            </w:pPr>
            <w:r w:rsidRPr="5176D4DE">
              <w:rPr>
                <w:rFonts w:ascii="Arial" w:eastAsia="Arial" w:hAnsi="Arial" w:cs="Arial"/>
              </w:rPr>
              <w:t xml:space="preserve">El PIBV incorporó un enfoque de </w:t>
            </w:r>
            <w:r w:rsidR="5F9B2986" w:rsidRPr="5176D4DE">
              <w:rPr>
                <w:rFonts w:ascii="Arial" w:eastAsia="Arial" w:hAnsi="Arial" w:cs="Arial"/>
              </w:rPr>
              <w:t xml:space="preserve">rendición de cuentas </w:t>
            </w:r>
            <w:r w:rsidRPr="5176D4DE">
              <w:rPr>
                <w:rFonts w:ascii="Arial" w:eastAsia="Arial" w:hAnsi="Arial" w:cs="Arial"/>
              </w:rPr>
              <w:t>clara, en el que la Dirección General de Obras Públicas (DGOP) asumió la responsabilidad institucional del programa. Contar con una autoridad definida permitió dar seguimiento constante y estabilidad a la gestión, asegurando la conservación y funcionalidad de las obras ejecutadas.</w:t>
            </w:r>
          </w:p>
          <w:p w14:paraId="0523660A" w14:textId="527621E0" w:rsidR="658E0A15" w:rsidRDefault="054F3215" w:rsidP="4742C33E">
            <w:pPr>
              <w:spacing w:before="240" w:after="240"/>
              <w:rPr>
                <w:rFonts w:ascii="Arial" w:eastAsia="Arial" w:hAnsi="Arial" w:cs="Arial"/>
              </w:rPr>
            </w:pPr>
            <w:r w:rsidRPr="5176D4DE">
              <w:rPr>
                <w:rFonts w:ascii="Arial" w:eastAsia="Arial" w:hAnsi="Arial" w:cs="Arial"/>
              </w:rPr>
              <w:t xml:space="preserve">Asimismo, se constató la importancia de </w:t>
            </w:r>
            <w:r w:rsidR="5438D834" w:rsidRPr="5176D4DE">
              <w:rPr>
                <w:rFonts w:ascii="Arial" w:eastAsia="Arial" w:hAnsi="Arial" w:cs="Arial"/>
              </w:rPr>
              <w:t xml:space="preserve">efectuar procesos participativos permanentes con comunidades beneficiarias mediante relacionamiento </w:t>
            </w:r>
            <w:r w:rsidR="38D9BE73" w:rsidRPr="5176D4DE">
              <w:rPr>
                <w:rFonts w:ascii="Arial" w:eastAsia="Arial" w:hAnsi="Arial" w:cs="Arial"/>
              </w:rPr>
              <w:t>interdisciplinario</w:t>
            </w:r>
            <w:r w:rsidR="3221B809" w:rsidRPr="5176D4DE">
              <w:rPr>
                <w:rFonts w:ascii="Arial" w:eastAsia="Arial" w:hAnsi="Arial" w:cs="Arial"/>
              </w:rPr>
              <w:t xml:space="preserve"> e </w:t>
            </w:r>
            <w:r w:rsidR="5438D834" w:rsidRPr="5176D4DE">
              <w:rPr>
                <w:rFonts w:ascii="Arial" w:eastAsia="Arial" w:hAnsi="Arial" w:cs="Arial"/>
              </w:rPr>
              <w:t xml:space="preserve">intercultural, y vincular de </w:t>
            </w:r>
            <w:r w:rsidRPr="5176D4DE">
              <w:rPr>
                <w:rFonts w:ascii="Arial" w:eastAsia="Arial" w:hAnsi="Arial" w:cs="Arial"/>
              </w:rPr>
              <w:t>manera activa a las autoridades locales, quienes facilitan la comunicación con las comunidades y aportan conocimiento directo de las necesidades territoriales. Este trabajo colaborativo mejoró la pertinencia de las soluciones y fortaleció la relación entre el Estado y las comunidades beneficiarias.</w:t>
            </w:r>
          </w:p>
          <w:p w14:paraId="16C95DBD" w14:textId="3E6FBC4E" w:rsidR="658E0A15" w:rsidRDefault="39F50AFA" w:rsidP="4742C33E">
            <w:pPr>
              <w:spacing w:before="240" w:after="240"/>
              <w:rPr>
                <w:rFonts w:ascii="Arial" w:eastAsia="Arial" w:hAnsi="Arial" w:cs="Arial"/>
              </w:rPr>
            </w:pPr>
            <w:r w:rsidRPr="4742C33E">
              <w:rPr>
                <w:rFonts w:ascii="Arial" w:eastAsia="Arial" w:hAnsi="Arial" w:cs="Arial"/>
              </w:rPr>
              <w:t>Finalmente, el programa adquirió aprendizajes relevantes sobre la gestión de obras con significancia cultural, entendiendo que la infraestructura en territorios indígenas requiere procesos pertinentes, con participación y validación comunitaria desde la etapa de diseño.</w:t>
            </w:r>
          </w:p>
          <w:p w14:paraId="75B5CD83" w14:textId="0C897570" w:rsidR="658E0A15" w:rsidRDefault="39F50AFA" w:rsidP="4742C33E">
            <w:pPr>
              <w:spacing w:before="240" w:after="240"/>
              <w:rPr>
                <w:rFonts w:ascii="Arial" w:eastAsia="Arial" w:hAnsi="Arial" w:cs="Arial"/>
                <w:color w:val="FF0000"/>
                <w:highlight w:val="yellow"/>
              </w:rPr>
            </w:pPr>
            <w:r w:rsidRPr="4742C33E">
              <w:rPr>
                <w:rFonts w:ascii="Arial" w:eastAsia="Arial" w:hAnsi="Arial" w:cs="Arial"/>
              </w:rPr>
              <w:t>En conjunto, estos aprendizajes fortalecieron la capacidad del PIBV para planificar y ejecutar infraestructura rural con enfoque territorial, social y cultural, consolidando un modelo de gestión público que trasciende la ejecución de obras para transformarse en una política de desarrollo sostenible y de largo plazo.</w:t>
            </w:r>
          </w:p>
        </w:tc>
      </w:tr>
    </w:tbl>
    <w:p w14:paraId="5A96FA7D" w14:textId="6F3C167F" w:rsidR="0AA20D7F" w:rsidRDefault="0AA20D7F" w:rsidP="0AA20D7F">
      <w:pPr>
        <w:rPr>
          <w:rFonts w:ascii="Arial" w:hAnsi="Arial" w:cs="Arial"/>
        </w:rPr>
      </w:pPr>
    </w:p>
    <w:p w14:paraId="368BAF25" w14:textId="77777777" w:rsidR="006A7B43" w:rsidRDefault="006A7B43">
      <w:pPr>
        <w:jc w:val="left"/>
        <w:rPr>
          <w:rFonts w:ascii="Arial" w:eastAsiaTheme="majorEastAsia" w:hAnsi="Arial" w:cs="Arial"/>
          <w:b/>
          <w:color w:val="002060"/>
          <w:sz w:val="32"/>
          <w:szCs w:val="32"/>
        </w:rPr>
      </w:pPr>
      <w:bookmarkStart w:id="5" w:name="_Toc213772448"/>
      <w:r>
        <w:rPr>
          <w:rFonts w:ascii="Arial" w:hAnsi="Arial" w:cs="Arial"/>
          <w:color w:val="002060"/>
        </w:rPr>
        <w:br w:type="page"/>
      </w:r>
    </w:p>
    <w:p w14:paraId="5953CC03" w14:textId="06C7B587" w:rsidR="001B4265" w:rsidRPr="007A6156" w:rsidRDefault="6276EC06" w:rsidP="001B4265">
      <w:pPr>
        <w:pStyle w:val="Ttulo1"/>
        <w:rPr>
          <w:rFonts w:ascii="Arial" w:hAnsi="Arial" w:cs="Arial"/>
          <w:color w:val="002060"/>
        </w:rPr>
      </w:pPr>
      <w:r w:rsidRPr="09707CB3">
        <w:rPr>
          <w:rFonts w:ascii="Arial" w:hAnsi="Arial" w:cs="Arial"/>
          <w:color w:val="002060"/>
        </w:rPr>
        <w:lastRenderedPageBreak/>
        <w:t>Proyección y recomendaciones de continuidad</w:t>
      </w:r>
      <w:bookmarkEnd w:id="5"/>
    </w:p>
    <w:p w14:paraId="6B941347" w14:textId="73F52156" w:rsidR="00AC1CD4" w:rsidRDefault="00AC1CD4" w:rsidP="5176D4DE">
      <w:pPr>
        <w:rPr>
          <w:rFonts w:ascii="Arial" w:hAnsi="Arial" w:cs="Arial"/>
        </w:rPr>
      </w:pPr>
    </w:p>
    <w:tbl>
      <w:tblPr>
        <w:tblStyle w:val="Tablaconcuadrcula"/>
        <w:tblW w:w="0" w:type="auto"/>
        <w:tblLayout w:type="fixed"/>
        <w:tblLook w:val="06A0" w:firstRow="1" w:lastRow="0" w:firstColumn="1" w:lastColumn="0" w:noHBand="1" w:noVBand="1"/>
      </w:tblPr>
      <w:tblGrid>
        <w:gridCol w:w="9495"/>
      </w:tblGrid>
      <w:tr w:rsidR="26884720" w14:paraId="049DEF33" w14:textId="77777777" w:rsidTr="5176D4DE">
        <w:trPr>
          <w:trHeight w:val="300"/>
        </w:trPr>
        <w:tc>
          <w:tcPr>
            <w:tcW w:w="9495" w:type="dxa"/>
          </w:tcPr>
          <w:p w14:paraId="08A14B51" w14:textId="19299CFC" w:rsidR="39B92A0D" w:rsidRPr="004A20C1" w:rsidRDefault="39B92A0D" w:rsidP="4742C33E">
            <w:pPr>
              <w:spacing w:before="240" w:after="240"/>
              <w:rPr>
                <w:rFonts w:ascii="Arial" w:hAnsi="Arial" w:cs="Arial"/>
              </w:rPr>
            </w:pPr>
            <w:r w:rsidRPr="004A20C1">
              <w:rPr>
                <w:rFonts w:ascii="Arial" w:eastAsiaTheme="minorEastAsia" w:hAnsi="Arial" w:cs="Arial"/>
              </w:rPr>
              <w:t xml:space="preserve">El </w:t>
            </w:r>
            <w:r w:rsidR="004A20C1">
              <w:rPr>
                <w:rFonts w:ascii="Arial" w:eastAsiaTheme="minorEastAsia" w:hAnsi="Arial" w:cs="Arial"/>
              </w:rPr>
              <w:t>“</w:t>
            </w:r>
            <w:r w:rsidRPr="004A20C1">
              <w:rPr>
                <w:rFonts w:ascii="Arial" w:eastAsiaTheme="minorEastAsia" w:hAnsi="Arial" w:cs="Arial"/>
              </w:rPr>
              <w:t>Plan de Inversiones en Infraestructura para Comunidades Indígenas y Rurales del Sur de Chile</w:t>
            </w:r>
            <w:r w:rsidR="004A20C1">
              <w:rPr>
                <w:rFonts w:ascii="Arial" w:eastAsiaTheme="minorEastAsia" w:hAnsi="Arial" w:cs="Arial"/>
              </w:rPr>
              <w:t xml:space="preserve"> /</w:t>
            </w:r>
            <w:r w:rsidRPr="004A20C1">
              <w:rPr>
                <w:rFonts w:ascii="Arial" w:eastAsiaTheme="minorEastAsia" w:hAnsi="Arial" w:cs="Arial"/>
              </w:rPr>
              <w:t xml:space="preserve"> 2023–2032</w:t>
            </w:r>
            <w:r w:rsidR="004A20C1">
              <w:rPr>
                <w:rFonts w:ascii="Arial" w:eastAsiaTheme="minorEastAsia" w:hAnsi="Arial" w:cs="Arial"/>
              </w:rPr>
              <w:t>”</w:t>
            </w:r>
            <w:r w:rsidRPr="004A20C1">
              <w:rPr>
                <w:rFonts w:ascii="Arial" w:eastAsiaTheme="minorEastAsia" w:hAnsi="Arial" w:cs="Arial"/>
              </w:rPr>
              <w:t xml:space="preserve"> consolida la continuidad técnica y presupuestaria del Programa de Infraestructura para el Buen Vivir (PIBV), orientando la acción del Estado al cierre gradual de las brechas de conectividad, agua potable y habitabilidad en las regiones del Biobío, La Araucanía, Los Ríos y Los Lagos.</w:t>
            </w:r>
          </w:p>
          <w:p w14:paraId="60AA5646" w14:textId="53FBE7D7" w:rsidR="39B92A0D" w:rsidRPr="005C7D10" w:rsidRDefault="685662DD" w:rsidP="4742C33E">
            <w:pPr>
              <w:spacing w:before="240" w:after="240"/>
              <w:rPr>
                <w:rFonts w:ascii="Arial" w:hAnsi="Arial" w:cs="Arial"/>
              </w:rPr>
            </w:pPr>
            <w:r w:rsidRPr="005C7D10">
              <w:rPr>
                <w:rFonts w:ascii="Arial" w:eastAsiaTheme="minorEastAsia" w:hAnsi="Arial" w:cs="Arial"/>
              </w:rPr>
              <w:t xml:space="preserve">En conectividad, el Plan proyecta atender el 50% de la brecha total de caminos en comunidades indígenas y rurales, equivalente a 5.336 kilómetros al año 2032. De ellos, 3.808 km corresponden a Caminos de Conservación Indígena y 1.528 km a Caminos Básicos por Conservación, con una tasa anual promedio de ejecución de 541 y 218 km respectivamente. </w:t>
            </w:r>
            <w:r w:rsidR="54C81932" w:rsidRPr="005C7D10">
              <w:rPr>
                <w:rFonts w:ascii="Arial" w:eastAsiaTheme="minorEastAsia" w:hAnsi="Arial" w:cs="Arial"/>
              </w:rPr>
              <w:t xml:space="preserve">Se </w:t>
            </w:r>
            <w:r w:rsidR="004A20C1" w:rsidRPr="005C7D10">
              <w:rPr>
                <w:rFonts w:ascii="Arial" w:eastAsiaTheme="minorEastAsia" w:hAnsi="Arial" w:cs="Arial"/>
              </w:rPr>
              <w:t>ha</w:t>
            </w:r>
            <w:r w:rsidR="54C81932" w:rsidRPr="005C7D10">
              <w:rPr>
                <w:rFonts w:ascii="Arial" w:eastAsiaTheme="minorEastAsia" w:hAnsi="Arial" w:cs="Arial"/>
              </w:rPr>
              <w:t xml:space="preserve"> planificado que e</w:t>
            </w:r>
            <w:r w:rsidRPr="005C7D10">
              <w:rPr>
                <w:rFonts w:ascii="Arial" w:eastAsiaTheme="minorEastAsia" w:hAnsi="Arial" w:cs="Arial"/>
              </w:rPr>
              <w:t>stas obras se desarroll</w:t>
            </w:r>
            <w:r w:rsidR="72D1CB1A" w:rsidRPr="005C7D10">
              <w:rPr>
                <w:rFonts w:ascii="Arial" w:eastAsiaTheme="minorEastAsia" w:hAnsi="Arial" w:cs="Arial"/>
              </w:rPr>
              <w:t>en</w:t>
            </w:r>
            <w:r w:rsidR="157F109D" w:rsidRPr="005C7D10">
              <w:rPr>
                <w:rFonts w:ascii="Arial" w:eastAsiaTheme="minorEastAsia" w:hAnsi="Arial" w:cs="Arial"/>
              </w:rPr>
              <w:t xml:space="preserve"> </w:t>
            </w:r>
            <w:r w:rsidR="49AEABA8" w:rsidRPr="005C7D10">
              <w:rPr>
                <w:rFonts w:ascii="Arial" w:eastAsiaTheme="minorEastAsia" w:hAnsi="Arial" w:cs="Arial"/>
              </w:rPr>
              <w:t xml:space="preserve">principalmente </w:t>
            </w:r>
            <w:r w:rsidRPr="005C7D10">
              <w:rPr>
                <w:rFonts w:ascii="Arial" w:eastAsiaTheme="minorEastAsia" w:hAnsi="Arial" w:cs="Arial"/>
              </w:rPr>
              <w:t xml:space="preserve">mediante contratos globales </w:t>
            </w:r>
            <w:r w:rsidR="4737A8D5" w:rsidRPr="005C7D10">
              <w:rPr>
                <w:rFonts w:ascii="Arial" w:eastAsiaTheme="minorEastAsia" w:hAnsi="Arial" w:cs="Arial"/>
              </w:rPr>
              <w:t xml:space="preserve">de conservación de caminos en comunidades indígenas </w:t>
            </w:r>
            <w:r w:rsidRPr="005C7D10">
              <w:rPr>
                <w:rFonts w:ascii="Arial" w:eastAsiaTheme="minorEastAsia" w:hAnsi="Arial" w:cs="Arial"/>
              </w:rPr>
              <w:t xml:space="preserve">y </w:t>
            </w:r>
            <w:r w:rsidR="004A20C1" w:rsidRPr="005C7D10">
              <w:rPr>
                <w:rFonts w:ascii="Arial" w:eastAsiaTheme="minorEastAsia" w:hAnsi="Arial" w:cs="Arial"/>
              </w:rPr>
              <w:t>vía</w:t>
            </w:r>
            <w:r w:rsidR="50ECD874" w:rsidRPr="005C7D10">
              <w:rPr>
                <w:rFonts w:ascii="Arial" w:eastAsiaTheme="minorEastAsia" w:hAnsi="Arial" w:cs="Arial"/>
              </w:rPr>
              <w:t xml:space="preserve"> </w:t>
            </w:r>
            <w:r w:rsidRPr="005C7D10">
              <w:rPr>
                <w:rFonts w:ascii="Arial" w:eastAsiaTheme="minorEastAsia" w:hAnsi="Arial" w:cs="Arial"/>
              </w:rPr>
              <w:t xml:space="preserve">administración directa regional, </w:t>
            </w:r>
            <w:r w:rsidR="004A20C1" w:rsidRPr="005C7D10">
              <w:rPr>
                <w:rFonts w:ascii="Arial" w:eastAsiaTheme="minorEastAsia" w:hAnsi="Arial" w:cs="Arial"/>
              </w:rPr>
              <w:t>otorgando</w:t>
            </w:r>
            <w:r w:rsidRPr="005C7D10">
              <w:rPr>
                <w:rFonts w:ascii="Arial" w:eastAsiaTheme="minorEastAsia" w:hAnsi="Arial" w:cs="Arial"/>
              </w:rPr>
              <w:t xml:space="preserve"> </w:t>
            </w:r>
            <w:r w:rsidR="49353974" w:rsidRPr="005C7D10">
              <w:rPr>
                <w:rFonts w:ascii="Arial" w:eastAsiaTheme="minorEastAsia" w:hAnsi="Arial" w:cs="Arial"/>
              </w:rPr>
              <w:t xml:space="preserve">un estándar mínimo de conectividad </w:t>
            </w:r>
            <w:r w:rsidRPr="005C7D10">
              <w:rPr>
                <w:rFonts w:ascii="Arial" w:eastAsiaTheme="minorEastAsia" w:hAnsi="Arial" w:cs="Arial"/>
              </w:rPr>
              <w:t xml:space="preserve">y accesibilidad a </w:t>
            </w:r>
            <w:r w:rsidR="33704BDB" w:rsidRPr="005C7D10">
              <w:rPr>
                <w:rFonts w:ascii="Arial" w:eastAsiaTheme="minorEastAsia" w:hAnsi="Arial" w:cs="Arial"/>
              </w:rPr>
              <w:t xml:space="preserve">los </w:t>
            </w:r>
            <w:r w:rsidRPr="005C7D10">
              <w:rPr>
                <w:rFonts w:ascii="Arial" w:eastAsiaTheme="minorEastAsia" w:hAnsi="Arial" w:cs="Arial"/>
              </w:rPr>
              <w:t>servicios básicos</w:t>
            </w:r>
            <w:r w:rsidR="258A5286" w:rsidRPr="005C7D10">
              <w:rPr>
                <w:rFonts w:ascii="Arial" w:eastAsiaTheme="minorEastAsia" w:hAnsi="Arial" w:cs="Arial"/>
              </w:rPr>
              <w:t xml:space="preserve"> que asegure su continuidad, dando con ello trato digno a esto sectores rezagados</w:t>
            </w:r>
            <w:r w:rsidRPr="005C7D10">
              <w:rPr>
                <w:rFonts w:ascii="Arial" w:eastAsiaTheme="minorEastAsia" w:hAnsi="Arial" w:cs="Arial"/>
              </w:rPr>
              <w:t>.</w:t>
            </w:r>
          </w:p>
          <w:p w14:paraId="2D848CAB" w14:textId="51843B53" w:rsidR="39B92A0D" w:rsidRPr="005C7D10" w:rsidRDefault="685662DD" w:rsidP="4742C33E">
            <w:pPr>
              <w:spacing w:before="240" w:after="240"/>
              <w:rPr>
                <w:rFonts w:ascii="Arial" w:hAnsi="Arial" w:cs="Arial"/>
              </w:rPr>
            </w:pPr>
            <w:r w:rsidRPr="005C7D10">
              <w:rPr>
                <w:rFonts w:ascii="Arial" w:eastAsiaTheme="minorEastAsia" w:hAnsi="Arial" w:cs="Arial"/>
              </w:rPr>
              <w:t>En agua potable rural, se proyecta atender 70.971 viviendas —equivalentes al 55% de la brecha— mediante la instalación de 135 nuevos sistemas tradicionales de Servicios Sanitarios Rurales (SSR) y 334 soluciones comunitarias en localidades dispersas</w:t>
            </w:r>
            <w:r w:rsidR="1D179EA9" w:rsidRPr="005C7D10">
              <w:rPr>
                <w:rFonts w:ascii="Arial" w:eastAsiaTheme="minorEastAsia" w:hAnsi="Arial" w:cs="Arial"/>
              </w:rPr>
              <w:t xml:space="preserve"> (Aguas Comunitarias)</w:t>
            </w:r>
            <w:r w:rsidRPr="005C7D10">
              <w:rPr>
                <w:rFonts w:ascii="Arial" w:eastAsiaTheme="minorEastAsia" w:hAnsi="Arial" w:cs="Arial"/>
              </w:rPr>
              <w:t>. Esta combinación permitirá ampliar la cobertura hacia sectores aislados con soluciones modulares y sostenibles.</w:t>
            </w:r>
          </w:p>
          <w:p w14:paraId="73DAF854" w14:textId="136CA712" w:rsidR="39B92A0D" w:rsidRPr="004A20C1" w:rsidRDefault="685662DD" w:rsidP="5176D4DE">
            <w:pPr>
              <w:spacing w:before="240" w:after="240"/>
              <w:rPr>
                <w:rFonts w:ascii="Arial" w:eastAsiaTheme="minorEastAsia" w:hAnsi="Arial" w:cs="Arial"/>
              </w:rPr>
            </w:pPr>
            <w:r w:rsidRPr="005C7D10">
              <w:rPr>
                <w:rFonts w:ascii="Arial" w:eastAsiaTheme="minorEastAsia" w:hAnsi="Arial" w:cs="Arial"/>
              </w:rPr>
              <w:t xml:space="preserve">El Plan incorpora además 55 iniciativas de infraestructura intrapredial </w:t>
            </w:r>
            <w:r w:rsidR="7A63BABE" w:rsidRPr="005C7D10">
              <w:rPr>
                <w:rFonts w:ascii="Arial" w:eastAsiaTheme="minorEastAsia" w:hAnsi="Arial" w:cs="Arial"/>
              </w:rPr>
              <w:t>para compras CONADI 20B</w:t>
            </w:r>
            <w:r w:rsidRPr="005C7D10">
              <w:rPr>
                <w:rFonts w:ascii="Arial" w:eastAsiaTheme="minorEastAsia" w:hAnsi="Arial" w:cs="Arial"/>
              </w:rPr>
              <w:t>, por M</w:t>
            </w:r>
            <w:r w:rsidR="004A20C1" w:rsidRPr="005C7D10">
              <w:rPr>
                <w:rFonts w:ascii="Arial" w:eastAsiaTheme="minorEastAsia" w:hAnsi="Arial" w:cs="Arial"/>
              </w:rPr>
              <w:t>M</w:t>
            </w:r>
            <w:r w:rsidRPr="005C7D10">
              <w:rPr>
                <w:rFonts w:ascii="Arial" w:eastAsiaTheme="minorEastAsia" w:hAnsi="Arial" w:cs="Arial"/>
              </w:rPr>
              <w:t>$</w:t>
            </w:r>
            <w:r w:rsidR="004A20C1" w:rsidRPr="005C7D10">
              <w:rPr>
                <w:rFonts w:ascii="Arial" w:eastAsiaTheme="minorEastAsia" w:hAnsi="Arial" w:cs="Arial"/>
              </w:rPr>
              <w:t xml:space="preserve"> 666.087</w:t>
            </w:r>
            <w:r w:rsidRPr="005C7D10">
              <w:rPr>
                <w:rFonts w:ascii="Arial" w:eastAsiaTheme="minorEastAsia" w:hAnsi="Arial" w:cs="Arial"/>
              </w:rPr>
              <w:t xml:space="preserve">, orientadas </w:t>
            </w:r>
            <w:r w:rsidR="7AD48DC3" w:rsidRPr="005C7D10">
              <w:rPr>
                <w:rFonts w:ascii="Arial" w:eastAsiaTheme="minorEastAsia" w:hAnsi="Arial" w:cs="Arial"/>
              </w:rPr>
              <w:t xml:space="preserve">principalmente </w:t>
            </w:r>
            <w:r w:rsidRPr="005C7D10">
              <w:rPr>
                <w:rFonts w:ascii="Arial" w:eastAsiaTheme="minorEastAsia" w:hAnsi="Arial" w:cs="Arial"/>
              </w:rPr>
              <w:t xml:space="preserve">a </w:t>
            </w:r>
            <w:r w:rsidR="5E367843" w:rsidRPr="005C7D10">
              <w:rPr>
                <w:rFonts w:ascii="Arial" w:eastAsiaTheme="minorEastAsia" w:hAnsi="Arial" w:cs="Arial"/>
              </w:rPr>
              <w:t>caminos,</w:t>
            </w:r>
            <w:r w:rsidRPr="005C7D10">
              <w:rPr>
                <w:rFonts w:ascii="Arial" w:eastAsiaTheme="minorEastAsia" w:hAnsi="Arial" w:cs="Arial"/>
              </w:rPr>
              <w:t xml:space="preserve"> </w:t>
            </w:r>
            <w:r w:rsidR="222E418E" w:rsidRPr="005C7D10">
              <w:rPr>
                <w:rFonts w:ascii="Arial" w:eastAsiaTheme="minorEastAsia" w:hAnsi="Arial" w:cs="Arial"/>
              </w:rPr>
              <w:t xml:space="preserve">y </w:t>
            </w:r>
            <w:r w:rsidRPr="005C7D10">
              <w:rPr>
                <w:rFonts w:ascii="Arial" w:eastAsiaTheme="minorEastAsia" w:hAnsi="Arial" w:cs="Arial"/>
              </w:rPr>
              <w:t xml:space="preserve">agua, </w:t>
            </w:r>
            <w:r w:rsidR="28F8EC9C" w:rsidRPr="005C7D10">
              <w:rPr>
                <w:rFonts w:ascii="Arial" w:eastAsiaTheme="minorEastAsia" w:hAnsi="Arial" w:cs="Arial"/>
              </w:rPr>
              <w:t>contribuyendo a</w:t>
            </w:r>
            <w:r w:rsidRPr="005C7D10">
              <w:rPr>
                <w:rFonts w:ascii="Arial" w:eastAsiaTheme="minorEastAsia" w:hAnsi="Arial" w:cs="Arial"/>
              </w:rPr>
              <w:t>l uso efectivo de las tierras.</w:t>
            </w:r>
            <w:r w:rsidRPr="004A20C1">
              <w:rPr>
                <w:rFonts w:ascii="Arial" w:eastAsiaTheme="minorEastAsia" w:hAnsi="Arial" w:cs="Arial"/>
              </w:rPr>
              <w:t xml:space="preserve"> </w:t>
            </w:r>
          </w:p>
          <w:p w14:paraId="75ABC3A5" w14:textId="2767C6C1" w:rsidR="39B92A0D" w:rsidRDefault="685662DD" w:rsidP="4742C33E">
            <w:pPr>
              <w:spacing w:before="240" w:after="240"/>
              <w:rPr>
                <w:rFonts w:ascii="Arial" w:eastAsiaTheme="minorEastAsia" w:hAnsi="Arial" w:cs="Arial"/>
              </w:rPr>
            </w:pPr>
            <w:r w:rsidRPr="004A20C1">
              <w:rPr>
                <w:rFonts w:ascii="Arial" w:eastAsiaTheme="minorEastAsia" w:hAnsi="Arial" w:cs="Arial"/>
              </w:rPr>
              <w:t>En total, considera una inversión de M</w:t>
            </w:r>
            <w:r w:rsidR="004A20C1">
              <w:rPr>
                <w:rFonts w:ascii="Arial" w:eastAsiaTheme="minorEastAsia" w:hAnsi="Arial" w:cs="Arial"/>
              </w:rPr>
              <w:t>M</w:t>
            </w:r>
            <w:r w:rsidRPr="004A20C1">
              <w:rPr>
                <w:rFonts w:ascii="Arial" w:eastAsiaTheme="minorEastAsia" w:hAnsi="Arial" w:cs="Arial"/>
              </w:rPr>
              <w:t>$</w:t>
            </w:r>
            <w:r w:rsidR="004A20C1">
              <w:rPr>
                <w:rFonts w:ascii="Arial" w:eastAsiaTheme="minorEastAsia" w:hAnsi="Arial" w:cs="Arial"/>
              </w:rPr>
              <w:t xml:space="preserve"> </w:t>
            </w:r>
            <w:r w:rsidRPr="004A20C1">
              <w:rPr>
                <w:rFonts w:ascii="Arial" w:eastAsiaTheme="minorEastAsia" w:hAnsi="Arial" w:cs="Arial"/>
              </w:rPr>
              <w:t>3.333.305</w:t>
            </w:r>
            <w:r w:rsidR="004A20C1">
              <w:rPr>
                <w:rFonts w:ascii="Arial" w:eastAsiaTheme="minorEastAsia" w:hAnsi="Arial" w:cs="Arial"/>
              </w:rPr>
              <w:t xml:space="preserve"> (es decir, $3,3 billones de pesos)</w:t>
            </w:r>
            <w:r w:rsidRPr="004A20C1">
              <w:rPr>
                <w:rFonts w:ascii="Arial" w:eastAsiaTheme="minorEastAsia" w:hAnsi="Arial" w:cs="Arial"/>
              </w:rPr>
              <w:t xml:space="preserve"> en 45</w:t>
            </w:r>
            <w:r w:rsidR="00752650">
              <w:rPr>
                <w:rFonts w:ascii="Arial" w:eastAsiaTheme="minorEastAsia" w:hAnsi="Arial" w:cs="Arial"/>
              </w:rPr>
              <w:t>2</w:t>
            </w:r>
            <w:r w:rsidRPr="004A20C1">
              <w:rPr>
                <w:rFonts w:ascii="Arial" w:eastAsiaTheme="minorEastAsia" w:hAnsi="Arial" w:cs="Arial"/>
              </w:rPr>
              <w:t xml:space="preserve"> iniciativas, concentrando un 61% en </w:t>
            </w:r>
            <w:r w:rsidR="004A20C1">
              <w:rPr>
                <w:rFonts w:ascii="Arial" w:eastAsiaTheme="minorEastAsia" w:hAnsi="Arial" w:cs="Arial"/>
              </w:rPr>
              <w:t>el objetivo específico de “I</w:t>
            </w:r>
            <w:r w:rsidRPr="004A20C1">
              <w:rPr>
                <w:rFonts w:ascii="Arial" w:eastAsiaTheme="minorEastAsia" w:hAnsi="Arial" w:cs="Arial"/>
              </w:rPr>
              <w:t>ntegración social y territorial</w:t>
            </w:r>
            <w:r w:rsidR="004A20C1">
              <w:rPr>
                <w:rFonts w:ascii="Arial" w:eastAsiaTheme="minorEastAsia" w:hAnsi="Arial" w:cs="Arial"/>
              </w:rPr>
              <w:t>”, esto es, focalizado a la escala local de intervención</w:t>
            </w:r>
            <w:r w:rsidRPr="004A20C1">
              <w:rPr>
                <w:rFonts w:ascii="Arial" w:eastAsiaTheme="minorEastAsia" w:hAnsi="Arial" w:cs="Arial"/>
              </w:rPr>
              <w:t>.</w:t>
            </w:r>
          </w:p>
          <w:p w14:paraId="5CEC9799" w14:textId="77777777" w:rsidR="00F57183" w:rsidRPr="00F57183" w:rsidRDefault="00F57183" w:rsidP="00F57183">
            <w:pPr>
              <w:keepNext/>
              <w:spacing w:after="200" w:line="276" w:lineRule="auto"/>
              <w:jc w:val="center"/>
              <w:rPr>
                <w:rFonts w:asciiTheme="majorHAnsi" w:hAnsiTheme="majorHAnsi" w:cstheme="majorHAnsi"/>
                <w:b/>
                <w:bCs/>
                <w:i/>
                <w:iCs/>
                <w:kern w:val="2"/>
                <w:sz w:val="16"/>
                <w:szCs w:val="16"/>
                <w:lang w:val="es-ES"/>
                <w14:ligatures w14:val="standardContextual"/>
              </w:rPr>
            </w:pPr>
            <w:r w:rsidRPr="00F57183">
              <w:rPr>
                <w:rFonts w:asciiTheme="majorHAnsi" w:hAnsiTheme="majorHAnsi" w:cstheme="majorHAnsi"/>
                <w:b/>
                <w:bCs/>
                <w:i/>
                <w:iCs/>
                <w:kern w:val="2"/>
                <w:sz w:val="16"/>
                <w:szCs w:val="16"/>
                <w:lang w:val="es-ES"/>
                <w14:ligatures w14:val="standardContextual"/>
              </w:rPr>
              <w:t xml:space="preserve">Gráfico: Proyección de la Inversión 2023-2032                                                                                                                                                                                    </w:t>
            </w:r>
          </w:p>
          <w:p w14:paraId="38488572" w14:textId="2BEF3323" w:rsidR="004B3BE0" w:rsidRPr="004A20C1" w:rsidRDefault="004B3BE0" w:rsidP="00BD46CE">
            <w:pPr>
              <w:spacing w:before="240" w:after="240"/>
              <w:jc w:val="center"/>
              <w:rPr>
                <w:rFonts w:ascii="Arial" w:hAnsi="Arial" w:cs="Arial"/>
              </w:rPr>
            </w:pPr>
            <w:r w:rsidRPr="004A20C1">
              <w:rPr>
                <w:rFonts w:ascii="Arial" w:hAnsi="Arial" w:cs="Arial"/>
                <w:noProof/>
                <w:lang w:eastAsia="es-CL"/>
              </w:rPr>
              <w:drawing>
                <wp:inline distT="0" distB="0" distL="0" distR="0" wp14:anchorId="5E7DC446" wp14:editId="1FE196A0">
                  <wp:extent cx="5547995" cy="2705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3939" cy="2717951"/>
                          </a:xfrm>
                          <a:prstGeom prst="rect">
                            <a:avLst/>
                          </a:prstGeom>
                          <a:noFill/>
                        </pic:spPr>
                      </pic:pic>
                    </a:graphicData>
                  </a:graphic>
                </wp:inline>
              </w:drawing>
            </w:r>
          </w:p>
          <w:p w14:paraId="2C5C40CF" w14:textId="41B1159C" w:rsidR="004B3BE0" w:rsidRPr="00F57183" w:rsidRDefault="004B3BE0" w:rsidP="00BD46CE">
            <w:pPr>
              <w:spacing w:line="276" w:lineRule="auto"/>
              <w:jc w:val="center"/>
              <w:rPr>
                <w:rFonts w:asciiTheme="majorHAnsi" w:hAnsiTheme="majorHAnsi" w:cstheme="majorHAnsi"/>
                <w:i/>
                <w:iCs/>
                <w:sz w:val="14"/>
                <w:szCs w:val="14"/>
                <w:lang w:val="es-ES"/>
              </w:rPr>
            </w:pPr>
            <w:r w:rsidRPr="00F57183">
              <w:rPr>
                <w:rFonts w:asciiTheme="majorHAnsi" w:hAnsiTheme="majorHAnsi" w:cstheme="majorHAnsi"/>
                <w:i/>
                <w:iCs/>
                <w:sz w:val="14"/>
                <w:szCs w:val="14"/>
                <w:lang w:val="es-ES"/>
              </w:rPr>
              <w:lastRenderedPageBreak/>
              <w:t>Fuente: D</w:t>
            </w:r>
            <w:r w:rsidR="00C47E51" w:rsidRPr="00F57183">
              <w:rPr>
                <w:rFonts w:asciiTheme="majorHAnsi" w:hAnsiTheme="majorHAnsi" w:cstheme="majorHAnsi"/>
                <w:i/>
                <w:iCs/>
                <w:sz w:val="14"/>
                <w:szCs w:val="14"/>
                <w:lang w:val="es-ES"/>
              </w:rPr>
              <w:t>GOP</w:t>
            </w:r>
          </w:p>
          <w:p w14:paraId="6093A74D" w14:textId="77777777" w:rsidR="004A20C1" w:rsidRDefault="368FCBED" w:rsidP="4742C33E">
            <w:pPr>
              <w:spacing w:before="240" w:after="240"/>
              <w:rPr>
                <w:rFonts w:ascii="Arial" w:eastAsiaTheme="minorEastAsia" w:hAnsi="Arial" w:cs="Arial"/>
              </w:rPr>
            </w:pPr>
            <w:r w:rsidRPr="004A20C1">
              <w:rPr>
                <w:rFonts w:ascii="Arial" w:eastAsiaTheme="minorEastAsia" w:hAnsi="Arial" w:cs="Arial"/>
              </w:rPr>
              <w:t xml:space="preserve">Finalmente, </w:t>
            </w:r>
            <w:r w:rsidR="468F676C" w:rsidRPr="004A20C1">
              <w:rPr>
                <w:rFonts w:ascii="Arial" w:eastAsiaTheme="minorEastAsia" w:hAnsi="Arial" w:cs="Arial"/>
              </w:rPr>
              <w:t xml:space="preserve">es </w:t>
            </w:r>
            <w:r w:rsidR="004A20C1">
              <w:rPr>
                <w:rFonts w:ascii="Arial" w:eastAsiaTheme="minorEastAsia" w:hAnsi="Arial" w:cs="Arial"/>
              </w:rPr>
              <w:t>altamente recomendable</w:t>
            </w:r>
            <w:r w:rsidR="468F676C" w:rsidRPr="004A20C1">
              <w:rPr>
                <w:rFonts w:ascii="Arial" w:eastAsiaTheme="minorEastAsia" w:hAnsi="Arial" w:cs="Arial"/>
              </w:rPr>
              <w:t xml:space="preserve"> </w:t>
            </w:r>
            <w:r w:rsidR="685662DD" w:rsidRPr="004A20C1">
              <w:rPr>
                <w:rFonts w:ascii="Arial" w:eastAsiaTheme="minorEastAsia" w:hAnsi="Arial" w:cs="Arial"/>
              </w:rPr>
              <w:t xml:space="preserve">mantener la gobernanza del programa bajo </w:t>
            </w:r>
            <w:r w:rsidR="004A20C1">
              <w:rPr>
                <w:rFonts w:ascii="Arial" w:eastAsiaTheme="minorEastAsia" w:hAnsi="Arial" w:cs="Arial"/>
              </w:rPr>
              <w:t>la gestión coordinada y jerárquica de la Dirección General de Obras Públicas del MOP</w:t>
            </w:r>
            <w:r w:rsidR="685662DD" w:rsidRPr="004A20C1">
              <w:rPr>
                <w:rFonts w:ascii="Arial" w:eastAsiaTheme="minorEastAsia" w:hAnsi="Arial" w:cs="Arial"/>
              </w:rPr>
              <w:t xml:space="preserve">, </w:t>
            </w:r>
            <w:r w:rsidR="444CCB43" w:rsidRPr="004A20C1">
              <w:rPr>
                <w:rFonts w:ascii="Arial" w:eastAsiaTheme="minorEastAsia" w:hAnsi="Arial" w:cs="Arial"/>
              </w:rPr>
              <w:t>sosten</w:t>
            </w:r>
            <w:r w:rsidR="004A20C1">
              <w:rPr>
                <w:rFonts w:ascii="Arial" w:eastAsiaTheme="minorEastAsia" w:hAnsi="Arial" w:cs="Arial"/>
              </w:rPr>
              <w:t>iendo</w:t>
            </w:r>
            <w:r w:rsidR="444CCB43" w:rsidRPr="004A20C1">
              <w:rPr>
                <w:rFonts w:ascii="Arial" w:eastAsiaTheme="minorEastAsia" w:hAnsi="Arial" w:cs="Arial"/>
              </w:rPr>
              <w:t xml:space="preserve"> y </w:t>
            </w:r>
            <w:r w:rsidR="5DAB1423" w:rsidRPr="004A20C1">
              <w:rPr>
                <w:rFonts w:ascii="Arial" w:eastAsiaTheme="minorEastAsia" w:hAnsi="Arial" w:cs="Arial"/>
              </w:rPr>
              <w:t>profundiza</w:t>
            </w:r>
            <w:r w:rsidR="004A20C1">
              <w:rPr>
                <w:rFonts w:ascii="Arial" w:eastAsiaTheme="minorEastAsia" w:hAnsi="Arial" w:cs="Arial"/>
              </w:rPr>
              <w:t>ndo</w:t>
            </w:r>
            <w:r w:rsidR="5DAB1423" w:rsidRPr="004A20C1">
              <w:rPr>
                <w:rFonts w:ascii="Arial" w:eastAsiaTheme="minorEastAsia" w:hAnsi="Arial" w:cs="Arial"/>
              </w:rPr>
              <w:t xml:space="preserve"> la focalización de la inversión orientada a reducir las brechas que presentan los territorios con presencia de comunidades indígenas y rurales, </w:t>
            </w:r>
            <w:r w:rsidR="685662DD" w:rsidRPr="004A20C1">
              <w:rPr>
                <w:rFonts w:ascii="Arial" w:eastAsiaTheme="minorEastAsia" w:hAnsi="Arial" w:cs="Arial"/>
              </w:rPr>
              <w:t>consolida</w:t>
            </w:r>
            <w:r w:rsidR="004A20C1">
              <w:rPr>
                <w:rFonts w:ascii="Arial" w:eastAsiaTheme="minorEastAsia" w:hAnsi="Arial" w:cs="Arial"/>
              </w:rPr>
              <w:t>ndo</w:t>
            </w:r>
            <w:r w:rsidR="685662DD" w:rsidRPr="004A20C1">
              <w:rPr>
                <w:rFonts w:ascii="Arial" w:eastAsiaTheme="minorEastAsia" w:hAnsi="Arial" w:cs="Arial"/>
              </w:rPr>
              <w:t xml:space="preserve"> el enfoque de costo-eficiencia</w:t>
            </w:r>
            <w:r w:rsidR="004A20C1">
              <w:rPr>
                <w:rFonts w:ascii="Arial" w:eastAsiaTheme="minorEastAsia" w:hAnsi="Arial" w:cs="Arial"/>
              </w:rPr>
              <w:t xml:space="preserve"> en la evaluación de la cartera proyectada,</w:t>
            </w:r>
            <w:r w:rsidR="685662DD" w:rsidRPr="004A20C1">
              <w:rPr>
                <w:rFonts w:ascii="Arial" w:eastAsiaTheme="minorEastAsia" w:hAnsi="Arial" w:cs="Arial"/>
              </w:rPr>
              <w:t xml:space="preserve"> y continua</w:t>
            </w:r>
            <w:r w:rsidR="004A20C1">
              <w:rPr>
                <w:rFonts w:ascii="Arial" w:eastAsiaTheme="minorEastAsia" w:hAnsi="Arial" w:cs="Arial"/>
              </w:rPr>
              <w:t>ndo con</w:t>
            </w:r>
            <w:r w:rsidR="685662DD" w:rsidRPr="004A20C1">
              <w:rPr>
                <w:rFonts w:ascii="Arial" w:eastAsiaTheme="minorEastAsia" w:hAnsi="Arial" w:cs="Arial"/>
              </w:rPr>
              <w:t xml:space="preserve"> la cooperación con universidades y municipios como mecanismos de planificación </w:t>
            </w:r>
            <w:r w:rsidR="100AF2D9" w:rsidRPr="004A20C1">
              <w:rPr>
                <w:rFonts w:ascii="Arial" w:eastAsiaTheme="minorEastAsia" w:hAnsi="Arial" w:cs="Arial"/>
              </w:rPr>
              <w:t>que aceler</w:t>
            </w:r>
            <w:r w:rsidR="75F5475B" w:rsidRPr="004A20C1">
              <w:rPr>
                <w:rFonts w:ascii="Arial" w:eastAsiaTheme="minorEastAsia" w:hAnsi="Arial" w:cs="Arial"/>
              </w:rPr>
              <w:t>e</w:t>
            </w:r>
            <w:r w:rsidR="100AF2D9" w:rsidRPr="004A20C1">
              <w:rPr>
                <w:rFonts w:ascii="Arial" w:eastAsiaTheme="minorEastAsia" w:hAnsi="Arial" w:cs="Arial"/>
              </w:rPr>
              <w:t xml:space="preserve">n </w:t>
            </w:r>
            <w:r w:rsidR="742A9A9B" w:rsidRPr="004A20C1">
              <w:rPr>
                <w:rFonts w:ascii="Arial" w:eastAsiaTheme="minorEastAsia" w:hAnsi="Arial" w:cs="Arial"/>
              </w:rPr>
              <w:t xml:space="preserve">la </w:t>
            </w:r>
            <w:r w:rsidR="04A97259" w:rsidRPr="004A20C1">
              <w:rPr>
                <w:rFonts w:ascii="Arial" w:eastAsiaTheme="minorEastAsia" w:hAnsi="Arial" w:cs="Arial"/>
              </w:rPr>
              <w:t>ejecución.</w:t>
            </w:r>
            <w:r w:rsidR="685662DD" w:rsidRPr="004A20C1">
              <w:rPr>
                <w:rFonts w:ascii="Arial" w:eastAsiaTheme="minorEastAsia" w:hAnsi="Arial" w:cs="Arial"/>
              </w:rPr>
              <w:t xml:space="preserve"> </w:t>
            </w:r>
          </w:p>
          <w:p w14:paraId="47BC062D" w14:textId="1B862332" w:rsidR="39B92A0D" w:rsidRPr="004A20C1" w:rsidRDefault="685662DD" w:rsidP="4742C33E">
            <w:pPr>
              <w:spacing w:before="240" w:after="240"/>
              <w:rPr>
                <w:rFonts w:ascii="Arial" w:hAnsi="Arial" w:cs="Arial"/>
              </w:rPr>
            </w:pPr>
            <w:r w:rsidRPr="004A20C1">
              <w:rPr>
                <w:rFonts w:ascii="Arial" w:eastAsiaTheme="minorEastAsia" w:hAnsi="Arial" w:cs="Arial"/>
              </w:rPr>
              <w:t>La continuidad del PIBV al 2032 permitirá sostener los avances logrados y consolidar una política pública estable para la integración y el bienestar de las comunidades rurales e indígenas del sur de Chile.</w:t>
            </w:r>
          </w:p>
          <w:p w14:paraId="791F8AF1" w14:textId="133D78CA" w:rsidR="4742C33E" w:rsidRDefault="4742C33E" w:rsidP="4742C33E">
            <w:pPr>
              <w:rPr>
                <w:rFonts w:ascii="Arial" w:hAnsi="Arial" w:cs="Arial"/>
              </w:rPr>
            </w:pPr>
          </w:p>
          <w:p w14:paraId="6E4DCA35" w14:textId="21C8A273" w:rsidR="26884720" w:rsidRDefault="26884720" w:rsidP="26884720">
            <w:pPr>
              <w:rPr>
                <w:rFonts w:ascii="Arial" w:hAnsi="Arial" w:cs="Arial"/>
              </w:rPr>
            </w:pPr>
          </w:p>
        </w:tc>
      </w:tr>
    </w:tbl>
    <w:p w14:paraId="5D20B8F8" w14:textId="77777777" w:rsidR="00AC1CD4" w:rsidRPr="00AC1CD4" w:rsidRDefault="00AC1CD4" w:rsidP="001B4265">
      <w:pPr>
        <w:rPr>
          <w:rFonts w:ascii="Arial" w:hAnsi="Arial" w:cs="Arial"/>
        </w:rPr>
      </w:pPr>
    </w:p>
    <w:p w14:paraId="3EBE3338" w14:textId="77777777" w:rsidR="00AC1CD4" w:rsidRPr="00AC1CD4" w:rsidRDefault="00AC1CD4" w:rsidP="00AC1CD4"/>
    <w:sectPr w:rsidR="00AC1CD4" w:rsidRPr="00AC1CD4" w:rsidSect="003677E2">
      <w:headerReference w:type="default" r:id="rId17"/>
      <w:footerReference w:type="default" r:id="rId18"/>
      <w:pgSz w:w="12240" w:h="15840"/>
      <w:pgMar w:top="1276" w:right="1327" w:bottom="56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E9FD" w14:textId="77777777" w:rsidR="00F942C3" w:rsidRDefault="00F942C3" w:rsidP="009449B4">
      <w:pPr>
        <w:spacing w:after="0" w:line="240" w:lineRule="auto"/>
      </w:pPr>
      <w:r>
        <w:separator/>
      </w:r>
    </w:p>
  </w:endnote>
  <w:endnote w:type="continuationSeparator" w:id="0">
    <w:p w14:paraId="75799546" w14:textId="77777777" w:rsidR="00F942C3" w:rsidRDefault="00F942C3" w:rsidP="0094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3E4" w14:textId="2F3E7D95" w:rsidR="009449B4" w:rsidRDefault="009449B4" w:rsidP="003677E2">
    <w:pPr>
      <w:pStyle w:val="Piedepgina"/>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7B2E" w14:textId="39969116" w:rsidR="003677E2" w:rsidRDefault="003677E2" w:rsidP="00437C57">
    <w:pPr>
      <w:pStyle w:val="Piedepgina"/>
      <w:jc w:val="right"/>
      <w:rPr>
        <w:noProof/>
        <w:lang w:eastAsia="es-CL"/>
      </w:rPr>
    </w:pPr>
  </w:p>
  <w:p w14:paraId="1BAF622A" w14:textId="1669D5FC" w:rsidR="00480AC7" w:rsidRDefault="00480AC7" w:rsidP="003677E2">
    <w:pPr>
      <w:pStyle w:val="Piedepgin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3DB4" w14:textId="77777777" w:rsidR="00F942C3" w:rsidRDefault="00F942C3" w:rsidP="009449B4">
      <w:pPr>
        <w:spacing w:after="0" w:line="240" w:lineRule="auto"/>
      </w:pPr>
      <w:r>
        <w:separator/>
      </w:r>
    </w:p>
  </w:footnote>
  <w:footnote w:type="continuationSeparator" w:id="0">
    <w:p w14:paraId="58B6023D" w14:textId="77777777" w:rsidR="00F942C3" w:rsidRDefault="00F942C3" w:rsidP="0094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B295" w14:textId="2414E217" w:rsidR="00A52E22" w:rsidRDefault="00A52E22">
    <w:pPr>
      <w:pStyle w:val="Encabezado"/>
    </w:pPr>
    <w:r w:rsidRPr="00A52E22">
      <w:rPr>
        <w:noProof/>
        <w:lang w:eastAsia="es-CL"/>
      </w:rPr>
      <w:drawing>
        <wp:anchor distT="0" distB="0" distL="114300" distR="114300" simplePos="0" relativeHeight="251658242" behindDoc="0" locked="0" layoutInCell="1" allowOverlap="1" wp14:anchorId="205573AE" wp14:editId="503261D9">
          <wp:simplePos x="0" y="0"/>
          <wp:positionH relativeFrom="margin">
            <wp:align>left</wp:align>
          </wp:positionH>
          <wp:positionV relativeFrom="paragraph">
            <wp:posOffset>171450</wp:posOffset>
          </wp:positionV>
          <wp:extent cx="352425" cy="400050"/>
          <wp:effectExtent l="0" t="0" r="9525" b="0"/>
          <wp:wrapSquare wrapText="bothSides"/>
          <wp:docPr id="438474047" name="Imagen 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14:sizeRelH relativeFrom="margin">
            <wp14:pctWidth>0</wp14:pctWidth>
          </wp14:sizeRelH>
          <wp14:sizeRelV relativeFrom="margin">
            <wp14:pctHeight>0</wp14:pctHeight>
          </wp14:sizeRelV>
        </wp:anchor>
      </w:drawing>
    </w:r>
  </w:p>
  <w:p w14:paraId="29DCF827" w14:textId="724033EC" w:rsidR="00A52E22" w:rsidRDefault="00A52E22" w:rsidP="00A52E22">
    <w:pPr>
      <w:pStyle w:val="Encabezado"/>
    </w:pPr>
    <w:r>
      <w:t>Informes temáticos de Cierre</w:t>
    </w:r>
  </w:p>
  <w:p w14:paraId="00997F5D" w14:textId="37DE94E4" w:rsidR="00A52E22" w:rsidRPr="00A52E22" w:rsidRDefault="00A52E22" w:rsidP="00A52E22">
    <w:pPr>
      <w:pStyle w:val="Encabezado"/>
    </w:pPr>
    <w:r w:rsidRPr="00A52E22">
      <w:rPr>
        <w:noProof/>
        <w:lang w:eastAsia="es-CL"/>
      </w:rPr>
      <w:drawing>
        <wp:anchor distT="0" distB="0" distL="114300" distR="114300" simplePos="0" relativeHeight="251658241" behindDoc="0" locked="0" layoutInCell="1" allowOverlap="1" wp14:anchorId="09439436" wp14:editId="7102C91D">
          <wp:simplePos x="0" y="0"/>
          <wp:positionH relativeFrom="margin">
            <wp:align>left</wp:align>
          </wp:positionH>
          <wp:positionV relativeFrom="paragraph">
            <wp:posOffset>116205</wp:posOffset>
          </wp:positionV>
          <wp:extent cx="352425" cy="219075"/>
          <wp:effectExtent l="0" t="0" r="9525" b="9525"/>
          <wp:wrapSquare wrapText="bothSides"/>
          <wp:docPr id="525043437" name="Imagen 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98786"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margin">
            <wp14:pctWidth>0</wp14:pctWidth>
          </wp14:sizeRelH>
          <wp14:sizeRelV relativeFrom="margin">
            <wp14:pctHeight>0</wp14:pctHeight>
          </wp14:sizeRelV>
        </wp:anchor>
      </w:drawing>
    </w:r>
    <w:r>
      <w:t>M</w:t>
    </w:r>
    <w:r w:rsidRPr="00A52E22">
      <w:t xml:space="preserve">inisterio de </w:t>
    </w:r>
    <w:r>
      <w:t>O</w:t>
    </w:r>
    <w:r w:rsidRPr="00A52E22">
      <w:t xml:space="preserve">bras </w:t>
    </w:r>
    <w:r>
      <w:t>P</w:t>
    </w:r>
    <w:r w:rsidRPr="00A52E22">
      <w:t xml:space="preserve">úblicas  </w:t>
    </w:r>
  </w:p>
  <w:p w14:paraId="23C93307" w14:textId="52040F95" w:rsidR="000B0710" w:rsidRDefault="003677E2">
    <w:pPr>
      <w:pStyle w:val="Encabezado"/>
    </w:pPr>
    <w:r>
      <w:rPr>
        <w:noProof/>
        <w:lang w:eastAsia="es-CL"/>
      </w:rPr>
      <mc:AlternateContent>
        <mc:Choice Requires="wps">
          <w:drawing>
            <wp:anchor distT="0" distB="0" distL="114300" distR="114300" simplePos="0" relativeHeight="251658240" behindDoc="0" locked="0" layoutInCell="1" allowOverlap="1" wp14:anchorId="6017E888" wp14:editId="104099BA">
              <wp:simplePos x="0" y="0"/>
              <wp:positionH relativeFrom="column">
                <wp:posOffset>242570</wp:posOffset>
              </wp:positionH>
              <wp:positionV relativeFrom="paragraph">
                <wp:posOffset>266700</wp:posOffset>
              </wp:positionV>
              <wp:extent cx="1217930" cy="914400"/>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121793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47110" w14:textId="77777777" w:rsidR="003677E2" w:rsidRPr="003677E2" w:rsidRDefault="003677E2" w:rsidP="003677E2">
                          <w:pPr>
                            <w:spacing w:after="0"/>
                            <w:jc w:val="center"/>
                            <w:rPr>
                              <w:color w:val="FFFFFF" w:themeColor="background1"/>
                            </w:rPr>
                          </w:pPr>
                          <w:r w:rsidRPr="003677E2">
                            <w:rPr>
                              <w:color w:val="FFFFFF" w:themeColor="background1"/>
                            </w:rPr>
                            <w:t>ADMINISTRACIÓN</w:t>
                          </w:r>
                        </w:p>
                        <w:p w14:paraId="2A423A85" w14:textId="77777777" w:rsidR="003677E2" w:rsidRPr="003677E2" w:rsidRDefault="003677E2" w:rsidP="003677E2">
                          <w:pPr>
                            <w:spacing w:after="0"/>
                            <w:jc w:val="center"/>
                            <w:rPr>
                              <w:color w:val="FFFFFF" w:themeColor="background1"/>
                            </w:rPr>
                          </w:pPr>
                          <w:r w:rsidRPr="003677E2">
                            <w:rPr>
                              <w:color w:val="FFFFFF" w:themeColor="background1"/>
                            </w:rPr>
                            <w:t>Y NEGOCIOS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17E888" id="_x0000_t202" coordsize="21600,21600" o:spt="202" path="m,l,21600r21600,l21600,xe">
              <v:stroke joinstyle="miter"/>
              <v:path gradientshapeok="t" o:connecttype="rect"/>
            </v:shapetype>
            <v:shape id="11 Cuadro de texto" o:spid="_x0000_s1026" type="#_x0000_t202" style="position:absolute;left:0;text-align:left;margin-left:19.1pt;margin-top:21pt;width:95.9pt;height:1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" filled="f" stroked="f" strokeweight=".5pt">
              <v:textbox>
                <w:txbxContent>
                  <w:p w14:paraId="0B147110" w14:textId="77777777" w:rsidR="003677E2" w:rsidRPr="003677E2" w:rsidRDefault="003677E2" w:rsidP="003677E2">
                    <w:pPr>
                      <w:spacing w:after="0"/>
                      <w:jc w:val="center"/>
                      <w:rPr>
                        <w:color w:val="FFFFFF" w:themeColor="background1"/>
                      </w:rPr>
                    </w:pPr>
                    <w:r w:rsidRPr="003677E2">
                      <w:rPr>
                        <w:color w:val="FFFFFF" w:themeColor="background1"/>
                      </w:rPr>
                      <w:t>ADMINISTRACIÓN</w:t>
                    </w:r>
                  </w:p>
                  <w:p w14:paraId="2A423A85" w14:textId="77777777" w:rsidR="003677E2" w:rsidRPr="003677E2" w:rsidRDefault="003677E2" w:rsidP="003677E2">
                    <w:pPr>
                      <w:spacing w:after="0"/>
                      <w:jc w:val="center"/>
                      <w:rPr>
                        <w:color w:val="FFFFFF" w:themeColor="background1"/>
                      </w:rPr>
                    </w:pPr>
                    <w:r w:rsidRPr="003677E2">
                      <w:rPr>
                        <w:color w:val="FFFFFF" w:themeColor="background1"/>
                      </w:rPr>
                      <w:t>Y NEGOCIOS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372E" w14:textId="77777777" w:rsidR="00A52E22" w:rsidRDefault="00A52E22" w:rsidP="00A52E22">
    <w:pPr>
      <w:pStyle w:val="Encabezado"/>
    </w:pPr>
    <w:r w:rsidRPr="00A52E22">
      <w:rPr>
        <w:noProof/>
        <w:lang w:eastAsia="es-CL"/>
      </w:rPr>
      <w:drawing>
        <wp:anchor distT="0" distB="0" distL="114300" distR="114300" simplePos="0" relativeHeight="251658244" behindDoc="0" locked="0" layoutInCell="1" allowOverlap="1" wp14:anchorId="2DC8E228" wp14:editId="0E98EFD3">
          <wp:simplePos x="0" y="0"/>
          <wp:positionH relativeFrom="margin">
            <wp:align>left</wp:align>
          </wp:positionH>
          <wp:positionV relativeFrom="paragraph">
            <wp:posOffset>171450</wp:posOffset>
          </wp:positionV>
          <wp:extent cx="352425" cy="400050"/>
          <wp:effectExtent l="0" t="0" r="9525" b="0"/>
          <wp:wrapSquare wrapText="bothSides"/>
          <wp:docPr id="1641960407" name="Imagen 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14:sizeRelH relativeFrom="margin">
            <wp14:pctWidth>0</wp14:pctWidth>
          </wp14:sizeRelH>
          <wp14:sizeRelV relativeFrom="margin">
            <wp14:pctHeight>0</wp14:pctHeight>
          </wp14:sizeRelV>
        </wp:anchor>
      </w:drawing>
    </w:r>
  </w:p>
  <w:p w14:paraId="6888BF04" w14:textId="77777777" w:rsidR="00A52E22" w:rsidRDefault="00A52E22" w:rsidP="00A52E22">
    <w:pPr>
      <w:pStyle w:val="Encabezado"/>
    </w:pPr>
    <w:r>
      <w:t>Informes temáticos de Cierre</w:t>
    </w:r>
  </w:p>
  <w:p w14:paraId="6114FE74" w14:textId="77777777" w:rsidR="00A52E22" w:rsidRPr="00A52E22" w:rsidRDefault="00A52E22" w:rsidP="00A52E22">
    <w:pPr>
      <w:pStyle w:val="Encabezado"/>
    </w:pPr>
    <w:r w:rsidRPr="00A52E22">
      <w:rPr>
        <w:noProof/>
        <w:lang w:eastAsia="es-CL"/>
      </w:rPr>
      <w:drawing>
        <wp:anchor distT="0" distB="0" distL="114300" distR="114300" simplePos="0" relativeHeight="251658243" behindDoc="0" locked="0" layoutInCell="1" allowOverlap="1" wp14:anchorId="1C353C95" wp14:editId="4161EC2E">
          <wp:simplePos x="0" y="0"/>
          <wp:positionH relativeFrom="margin">
            <wp:align>left</wp:align>
          </wp:positionH>
          <wp:positionV relativeFrom="paragraph">
            <wp:posOffset>116205</wp:posOffset>
          </wp:positionV>
          <wp:extent cx="352425" cy="219075"/>
          <wp:effectExtent l="0" t="0" r="9525" b="9525"/>
          <wp:wrapSquare wrapText="bothSides"/>
          <wp:docPr id="1228765930" name="Imagen 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98786"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margin">
            <wp14:pctWidth>0</wp14:pctWidth>
          </wp14:sizeRelH>
          <wp14:sizeRelV relativeFrom="margin">
            <wp14:pctHeight>0</wp14:pctHeight>
          </wp14:sizeRelV>
        </wp:anchor>
      </w:drawing>
    </w:r>
    <w:r>
      <w:t>M</w:t>
    </w:r>
    <w:r w:rsidRPr="00A52E22">
      <w:t xml:space="preserve">inisterio de </w:t>
    </w:r>
    <w:r>
      <w:t>O</w:t>
    </w:r>
    <w:r w:rsidRPr="00A52E22">
      <w:t xml:space="preserve">bras </w:t>
    </w:r>
    <w:r>
      <w:t>P</w:t>
    </w:r>
    <w:r w:rsidRPr="00A52E22">
      <w:t xml:space="preserve">úblicas  </w:t>
    </w:r>
  </w:p>
  <w:p w14:paraId="3B933341" w14:textId="4D0C6824" w:rsidR="00480AC7" w:rsidRDefault="00480A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76D"/>
    <w:multiLevelType w:val="hybridMultilevel"/>
    <w:tmpl w:val="8C96E2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B41F6AD"/>
    <w:multiLevelType w:val="hybridMultilevel"/>
    <w:tmpl w:val="3F9C9E68"/>
    <w:lvl w:ilvl="0" w:tplc="984AF772">
      <w:start w:val="1"/>
      <w:numFmt w:val="bullet"/>
      <w:lvlText w:val=""/>
      <w:lvlJc w:val="left"/>
      <w:pPr>
        <w:ind w:left="720" w:hanging="360"/>
      </w:pPr>
      <w:rPr>
        <w:rFonts w:ascii="Symbol" w:hAnsi="Symbol" w:hint="default"/>
      </w:rPr>
    </w:lvl>
    <w:lvl w:ilvl="1" w:tplc="61E88DA6">
      <w:start w:val="1"/>
      <w:numFmt w:val="bullet"/>
      <w:lvlText w:val="o"/>
      <w:lvlJc w:val="left"/>
      <w:pPr>
        <w:ind w:left="1440" w:hanging="360"/>
      </w:pPr>
      <w:rPr>
        <w:rFonts w:ascii="Courier New" w:hAnsi="Courier New" w:hint="default"/>
      </w:rPr>
    </w:lvl>
    <w:lvl w:ilvl="2" w:tplc="ADB692AC">
      <w:start w:val="1"/>
      <w:numFmt w:val="bullet"/>
      <w:lvlText w:val=""/>
      <w:lvlJc w:val="left"/>
      <w:pPr>
        <w:ind w:left="2160" w:hanging="360"/>
      </w:pPr>
      <w:rPr>
        <w:rFonts w:ascii="Wingdings" w:hAnsi="Wingdings" w:hint="default"/>
      </w:rPr>
    </w:lvl>
    <w:lvl w:ilvl="3" w:tplc="5C32473A">
      <w:start w:val="1"/>
      <w:numFmt w:val="bullet"/>
      <w:lvlText w:val=""/>
      <w:lvlJc w:val="left"/>
      <w:pPr>
        <w:ind w:left="2880" w:hanging="360"/>
      </w:pPr>
      <w:rPr>
        <w:rFonts w:ascii="Symbol" w:hAnsi="Symbol" w:hint="default"/>
      </w:rPr>
    </w:lvl>
    <w:lvl w:ilvl="4" w:tplc="D136B772">
      <w:start w:val="1"/>
      <w:numFmt w:val="bullet"/>
      <w:lvlText w:val="o"/>
      <w:lvlJc w:val="left"/>
      <w:pPr>
        <w:ind w:left="3600" w:hanging="360"/>
      </w:pPr>
      <w:rPr>
        <w:rFonts w:ascii="Courier New" w:hAnsi="Courier New" w:hint="default"/>
      </w:rPr>
    </w:lvl>
    <w:lvl w:ilvl="5" w:tplc="2A72CEB0">
      <w:start w:val="1"/>
      <w:numFmt w:val="bullet"/>
      <w:lvlText w:val=""/>
      <w:lvlJc w:val="left"/>
      <w:pPr>
        <w:ind w:left="4320" w:hanging="360"/>
      </w:pPr>
      <w:rPr>
        <w:rFonts w:ascii="Wingdings" w:hAnsi="Wingdings" w:hint="default"/>
      </w:rPr>
    </w:lvl>
    <w:lvl w:ilvl="6" w:tplc="E424DB32">
      <w:start w:val="1"/>
      <w:numFmt w:val="bullet"/>
      <w:lvlText w:val=""/>
      <w:lvlJc w:val="left"/>
      <w:pPr>
        <w:ind w:left="5040" w:hanging="360"/>
      </w:pPr>
      <w:rPr>
        <w:rFonts w:ascii="Symbol" w:hAnsi="Symbol" w:hint="default"/>
      </w:rPr>
    </w:lvl>
    <w:lvl w:ilvl="7" w:tplc="CFCC620C">
      <w:start w:val="1"/>
      <w:numFmt w:val="bullet"/>
      <w:lvlText w:val="o"/>
      <w:lvlJc w:val="left"/>
      <w:pPr>
        <w:ind w:left="5760" w:hanging="360"/>
      </w:pPr>
      <w:rPr>
        <w:rFonts w:ascii="Courier New" w:hAnsi="Courier New" w:hint="default"/>
      </w:rPr>
    </w:lvl>
    <w:lvl w:ilvl="8" w:tplc="F08A5CBC">
      <w:start w:val="1"/>
      <w:numFmt w:val="bullet"/>
      <w:lvlText w:val=""/>
      <w:lvlJc w:val="left"/>
      <w:pPr>
        <w:ind w:left="6480" w:hanging="360"/>
      </w:pPr>
      <w:rPr>
        <w:rFonts w:ascii="Wingdings" w:hAnsi="Wingdings" w:hint="default"/>
      </w:rPr>
    </w:lvl>
  </w:abstractNum>
  <w:abstractNum w:abstractNumId="2" w15:restartNumberingAfterBreak="0">
    <w:nsid w:val="2ED1491E"/>
    <w:multiLevelType w:val="hybridMultilevel"/>
    <w:tmpl w:val="880A79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967E12"/>
    <w:multiLevelType w:val="hybridMultilevel"/>
    <w:tmpl w:val="859420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3A088D"/>
    <w:multiLevelType w:val="hybridMultilevel"/>
    <w:tmpl w:val="8E8296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C8A4DAC"/>
    <w:multiLevelType w:val="hybridMultilevel"/>
    <w:tmpl w:val="2CC49EE0"/>
    <w:lvl w:ilvl="0" w:tplc="86F87400">
      <w:start w:val="1"/>
      <w:numFmt w:val="bullet"/>
      <w:lvlText w:val="‐"/>
      <w:lvlJc w:val="left"/>
      <w:pPr>
        <w:ind w:left="720" w:hanging="360"/>
      </w:pPr>
      <w:rPr>
        <w:rFonts w:ascii="Calibri" w:hAnsi="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2B23DFF"/>
    <w:multiLevelType w:val="hybridMultilevel"/>
    <w:tmpl w:val="843C6FF6"/>
    <w:lvl w:ilvl="0" w:tplc="ADB8E93A">
      <w:start w:val="1"/>
      <w:numFmt w:val="bullet"/>
      <w:lvlText w:val=""/>
      <w:lvlJc w:val="left"/>
      <w:pPr>
        <w:ind w:left="720" w:hanging="360"/>
      </w:pPr>
      <w:rPr>
        <w:rFonts w:ascii="Symbol" w:hAnsi="Symbol" w:hint="default"/>
      </w:rPr>
    </w:lvl>
    <w:lvl w:ilvl="1" w:tplc="DD42B432">
      <w:start w:val="1"/>
      <w:numFmt w:val="bullet"/>
      <w:lvlText w:val="o"/>
      <w:lvlJc w:val="left"/>
      <w:pPr>
        <w:ind w:left="1440" w:hanging="360"/>
      </w:pPr>
      <w:rPr>
        <w:rFonts w:ascii="Courier New" w:hAnsi="Courier New" w:hint="default"/>
      </w:rPr>
    </w:lvl>
    <w:lvl w:ilvl="2" w:tplc="8FC281D2">
      <w:start w:val="1"/>
      <w:numFmt w:val="bullet"/>
      <w:lvlText w:val=""/>
      <w:lvlJc w:val="left"/>
      <w:pPr>
        <w:ind w:left="2160" w:hanging="360"/>
      </w:pPr>
      <w:rPr>
        <w:rFonts w:ascii="Wingdings" w:hAnsi="Wingdings" w:hint="default"/>
      </w:rPr>
    </w:lvl>
    <w:lvl w:ilvl="3" w:tplc="F96A1AAE">
      <w:start w:val="1"/>
      <w:numFmt w:val="bullet"/>
      <w:lvlText w:val=""/>
      <w:lvlJc w:val="left"/>
      <w:pPr>
        <w:ind w:left="2880" w:hanging="360"/>
      </w:pPr>
      <w:rPr>
        <w:rFonts w:ascii="Symbol" w:hAnsi="Symbol" w:hint="default"/>
      </w:rPr>
    </w:lvl>
    <w:lvl w:ilvl="4" w:tplc="E176082C">
      <w:start w:val="1"/>
      <w:numFmt w:val="bullet"/>
      <w:lvlText w:val="o"/>
      <w:lvlJc w:val="left"/>
      <w:pPr>
        <w:ind w:left="3600" w:hanging="360"/>
      </w:pPr>
      <w:rPr>
        <w:rFonts w:ascii="Courier New" w:hAnsi="Courier New" w:hint="default"/>
      </w:rPr>
    </w:lvl>
    <w:lvl w:ilvl="5" w:tplc="CB74B9F8">
      <w:start w:val="1"/>
      <w:numFmt w:val="bullet"/>
      <w:lvlText w:val=""/>
      <w:lvlJc w:val="left"/>
      <w:pPr>
        <w:ind w:left="4320" w:hanging="360"/>
      </w:pPr>
      <w:rPr>
        <w:rFonts w:ascii="Wingdings" w:hAnsi="Wingdings" w:hint="default"/>
      </w:rPr>
    </w:lvl>
    <w:lvl w:ilvl="6" w:tplc="F8846A7E">
      <w:start w:val="1"/>
      <w:numFmt w:val="bullet"/>
      <w:lvlText w:val=""/>
      <w:lvlJc w:val="left"/>
      <w:pPr>
        <w:ind w:left="5040" w:hanging="360"/>
      </w:pPr>
      <w:rPr>
        <w:rFonts w:ascii="Symbol" w:hAnsi="Symbol" w:hint="default"/>
      </w:rPr>
    </w:lvl>
    <w:lvl w:ilvl="7" w:tplc="041E5276">
      <w:start w:val="1"/>
      <w:numFmt w:val="bullet"/>
      <w:lvlText w:val="o"/>
      <w:lvlJc w:val="left"/>
      <w:pPr>
        <w:ind w:left="5760" w:hanging="360"/>
      </w:pPr>
      <w:rPr>
        <w:rFonts w:ascii="Courier New" w:hAnsi="Courier New" w:hint="default"/>
      </w:rPr>
    </w:lvl>
    <w:lvl w:ilvl="8" w:tplc="F1B0B33E">
      <w:start w:val="1"/>
      <w:numFmt w:val="bullet"/>
      <w:lvlText w:val=""/>
      <w:lvlJc w:val="left"/>
      <w:pPr>
        <w:ind w:left="6480" w:hanging="360"/>
      </w:pPr>
      <w:rPr>
        <w:rFonts w:ascii="Wingdings" w:hAnsi="Wingdings" w:hint="default"/>
      </w:rPr>
    </w:lvl>
  </w:abstractNum>
  <w:abstractNum w:abstractNumId="7" w15:restartNumberingAfterBreak="0">
    <w:nsid w:val="460D2990"/>
    <w:multiLevelType w:val="hybridMultilevel"/>
    <w:tmpl w:val="732CE73E"/>
    <w:lvl w:ilvl="0" w:tplc="86F87400">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80D712A"/>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9D70C88"/>
    <w:multiLevelType w:val="hybridMultilevel"/>
    <w:tmpl w:val="C7580E2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402C5E"/>
    <w:multiLevelType w:val="hybridMultilevel"/>
    <w:tmpl w:val="BC6895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E9B63B7"/>
    <w:multiLevelType w:val="hybridMultilevel"/>
    <w:tmpl w:val="505094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1D939AE"/>
    <w:multiLevelType w:val="hybridMultilevel"/>
    <w:tmpl w:val="29608B62"/>
    <w:lvl w:ilvl="0" w:tplc="86F87400">
      <w:start w:val="1"/>
      <w:numFmt w:val="bullet"/>
      <w:lvlText w:val="‐"/>
      <w:lvlJc w:val="left"/>
      <w:pPr>
        <w:ind w:left="1428" w:hanging="360"/>
      </w:pPr>
      <w:rPr>
        <w:rFonts w:ascii="Calibri" w:hAnsi="Calibri"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3" w15:restartNumberingAfterBreak="0">
    <w:nsid w:val="58B84004"/>
    <w:multiLevelType w:val="hybridMultilevel"/>
    <w:tmpl w:val="E45ADB9C"/>
    <w:lvl w:ilvl="0" w:tplc="8E9A2ADA">
      <w:start w:val="1"/>
      <w:numFmt w:val="bullet"/>
      <w:lvlText w:val="·"/>
      <w:lvlJc w:val="left"/>
      <w:pPr>
        <w:ind w:left="720" w:hanging="360"/>
      </w:pPr>
      <w:rPr>
        <w:rFonts w:ascii="Symbol" w:hAnsi="Symbol" w:hint="default"/>
      </w:rPr>
    </w:lvl>
    <w:lvl w:ilvl="1" w:tplc="4B962D12">
      <w:start w:val="1"/>
      <w:numFmt w:val="bullet"/>
      <w:lvlText w:val="o"/>
      <w:lvlJc w:val="left"/>
      <w:pPr>
        <w:ind w:left="1440" w:hanging="360"/>
      </w:pPr>
      <w:rPr>
        <w:rFonts w:ascii="Courier New" w:hAnsi="Courier New" w:hint="default"/>
      </w:rPr>
    </w:lvl>
    <w:lvl w:ilvl="2" w:tplc="60181422">
      <w:start w:val="1"/>
      <w:numFmt w:val="bullet"/>
      <w:lvlText w:val=""/>
      <w:lvlJc w:val="left"/>
      <w:pPr>
        <w:ind w:left="2160" w:hanging="360"/>
      </w:pPr>
      <w:rPr>
        <w:rFonts w:ascii="Wingdings" w:hAnsi="Wingdings" w:hint="default"/>
      </w:rPr>
    </w:lvl>
    <w:lvl w:ilvl="3" w:tplc="A7DAF98C">
      <w:start w:val="1"/>
      <w:numFmt w:val="bullet"/>
      <w:lvlText w:val=""/>
      <w:lvlJc w:val="left"/>
      <w:pPr>
        <w:ind w:left="2880" w:hanging="360"/>
      </w:pPr>
      <w:rPr>
        <w:rFonts w:ascii="Symbol" w:hAnsi="Symbol" w:hint="default"/>
      </w:rPr>
    </w:lvl>
    <w:lvl w:ilvl="4" w:tplc="08145D96">
      <w:start w:val="1"/>
      <w:numFmt w:val="bullet"/>
      <w:lvlText w:val="o"/>
      <w:lvlJc w:val="left"/>
      <w:pPr>
        <w:ind w:left="3600" w:hanging="360"/>
      </w:pPr>
      <w:rPr>
        <w:rFonts w:ascii="Courier New" w:hAnsi="Courier New" w:hint="default"/>
      </w:rPr>
    </w:lvl>
    <w:lvl w:ilvl="5" w:tplc="B4826A2C">
      <w:start w:val="1"/>
      <w:numFmt w:val="bullet"/>
      <w:lvlText w:val=""/>
      <w:lvlJc w:val="left"/>
      <w:pPr>
        <w:ind w:left="4320" w:hanging="360"/>
      </w:pPr>
      <w:rPr>
        <w:rFonts w:ascii="Wingdings" w:hAnsi="Wingdings" w:hint="default"/>
      </w:rPr>
    </w:lvl>
    <w:lvl w:ilvl="6" w:tplc="A45CC5FE">
      <w:start w:val="1"/>
      <w:numFmt w:val="bullet"/>
      <w:lvlText w:val=""/>
      <w:lvlJc w:val="left"/>
      <w:pPr>
        <w:ind w:left="5040" w:hanging="360"/>
      </w:pPr>
      <w:rPr>
        <w:rFonts w:ascii="Symbol" w:hAnsi="Symbol" w:hint="default"/>
      </w:rPr>
    </w:lvl>
    <w:lvl w:ilvl="7" w:tplc="273CA2E8">
      <w:start w:val="1"/>
      <w:numFmt w:val="bullet"/>
      <w:lvlText w:val="o"/>
      <w:lvlJc w:val="left"/>
      <w:pPr>
        <w:ind w:left="5760" w:hanging="360"/>
      </w:pPr>
      <w:rPr>
        <w:rFonts w:ascii="Courier New" w:hAnsi="Courier New" w:hint="default"/>
      </w:rPr>
    </w:lvl>
    <w:lvl w:ilvl="8" w:tplc="4DE24DAC">
      <w:start w:val="1"/>
      <w:numFmt w:val="bullet"/>
      <w:lvlText w:val=""/>
      <w:lvlJc w:val="left"/>
      <w:pPr>
        <w:ind w:left="6480" w:hanging="360"/>
      </w:pPr>
      <w:rPr>
        <w:rFonts w:ascii="Wingdings" w:hAnsi="Wingdings" w:hint="default"/>
      </w:rPr>
    </w:lvl>
  </w:abstractNum>
  <w:abstractNum w:abstractNumId="14" w15:restartNumberingAfterBreak="0">
    <w:nsid w:val="5BD12DF7"/>
    <w:multiLevelType w:val="hybridMultilevel"/>
    <w:tmpl w:val="16EA9176"/>
    <w:lvl w:ilvl="0" w:tplc="DB5CE966">
      <w:start w:val="1"/>
      <w:numFmt w:val="bullet"/>
      <w:lvlText w:val="o"/>
      <w:lvlJc w:val="left"/>
      <w:pPr>
        <w:ind w:left="1440" w:hanging="360"/>
      </w:pPr>
      <w:rPr>
        <w:rFonts w:ascii="Courier New" w:hAnsi="Courier New" w:hint="default"/>
      </w:rPr>
    </w:lvl>
    <w:lvl w:ilvl="1" w:tplc="7620356A">
      <w:start w:val="1"/>
      <w:numFmt w:val="bullet"/>
      <w:lvlText w:val="o"/>
      <w:lvlJc w:val="left"/>
      <w:pPr>
        <w:ind w:left="2160" w:hanging="360"/>
      </w:pPr>
      <w:rPr>
        <w:rFonts w:ascii="Courier New" w:hAnsi="Courier New" w:hint="default"/>
      </w:rPr>
    </w:lvl>
    <w:lvl w:ilvl="2" w:tplc="833C3AE2">
      <w:start w:val="1"/>
      <w:numFmt w:val="bullet"/>
      <w:lvlText w:val=""/>
      <w:lvlJc w:val="left"/>
      <w:pPr>
        <w:ind w:left="2880" w:hanging="360"/>
      </w:pPr>
      <w:rPr>
        <w:rFonts w:ascii="Wingdings" w:hAnsi="Wingdings" w:hint="default"/>
      </w:rPr>
    </w:lvl>
    <w:lvl w:ilvl="3" w:tplc="7BCA526C">
      <w:start w:val="1"/>
      <w:numFmt w:val="bullet"/>
      <w:lvlText w:val=""/>
      <w:lvlJc w:val="left"/>
      <w:pPr>
        <w:ind w:left="3600" w:hanging="360"/>
      </w:pPr>
      <w:rPr>
        <w:rFonts w:ascii="Symbol" w:hAnsi="Symbol" w:hint="default"/>
      </w:rPr>
    </w:lvl>
    <w:lvl w:ilvl="4" w:tplc="93E2CCBE">
      <w:start w:val="1"/>
      <w:numFmt w:val="bullet"/>
      <w:lvlText w:val="o"/>
      <w:lvlJc w:val="left"/>
      <w:pPr>
        <w:ind w:left="4320" w:hanging="360"/>
      </w:pPr>
      <w:rPr>
        <w:rFonts w:ascii="Courier New" w:hAnsi="Courier New" w:hint="default"/>
      </w:rPr>
    </w:lvl>
    <w:lvl w:ilvl="5" w:tplc="0BDC6238">
      <w:start w:val="1"/>
      <w:numFmt w:val="bullet"/>
      <w:lvlText w:val=""/>
      <w:lvlJc w:val="left"/>
      <w:pPr>
        <w:ind w:left="5040" w:hanging="360"/>
      </w:pPr>
      <w:rPr>
        <w:rFonts w:ascii="Wingdings" w:hAnsi="Wingdings" w:hint="default"/>
      </w:rPr>
    </w:lvl>
    <w:lvl w:ilvl="6" w:tplc="900A3F4A">
      <w:start w:val="1"/>
      <w:numFmt w:val="bullet"/>
      <w:lvlText w:val=""/>
      <w:lvlJc w:val="left"/>
      <w:pPr>
        <w:ind w:left="5760" w:hanging="360"/>
      </w:pPr>
      <w:rPr>
        <w:rFonts w:ascii="Symbol" w:hAnsi="Symbol" w:hint="default"/>
      </w:rPr>
    </w:lvl>
    <w:lvl w:ilvl="7" w:tplc="730878A8">
      <w:start w:val="1"/>
      <w:numFmt w:val="bullet"/>
      <w:lvlText w:val="o"/>
      <w:lvlJc w:val="left"/>
      <w:pPr>
        <w:ind w:left="6480" w:hanging="360"/>
      </w:pPr>
      <w:rPr>
        <w:rFonts w:ascii="Courier New" w:hAnsi="Courier New" w:hint="default"/>
      </w:rPr>
    </w:lvl>
    <w:lvl w:ilvl="8" w:tplc="639852DE">
      <w:start w:val="1"/>
      <w:numFmt w:val="bullet"/>
      <w:lvlText w:val=""/>
      <w:lvlJc w:val="left"/>
      <w:pPr>
        <w:ind w:left="7200" w:hanging="360"/>
      </w:pPr>
      <w:rPr>
        <w:rFonts w:ascii="Wingdings" w:hAnsi="Wingdings" w:hint="default"/>
      </w:rPr>
    </w:lvl>
  </w:abstractNum>
  <w:abstractNum w:abstractNumId="15" w15:restartNumberingAfterBreak="0">
    <w:nsid w:val="64293289"/>
    <w:multiLevelType w:val="hybridMultilevel"/>
    <w:tmpl w:val="59F457E6"/>
    <w:lvl w:ilvl="0" w:tplc="86F87400">
      <w:start w:val="1"/>
      <w:numFmt w:val="bullet"/>
      <w:lvlText w:val="‐"/>
      <w:lvlJc w:val="left"/>
      <w:pPr>
        <w:ind w:left="720" w:hanging="360"/>
      </w:pPr>
      <w:rPr>
        <w:rFonts w:ascii="Calibri" w:hAnsi="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824CFC4"/>
    <w:multiLevelType w:val="hybridMultilevel"/>
    <w:tmpl w:val="3A089CB0"/>
    <w:lvl w:ilvl="0" w:tplc="BC96802C">
      <w:start w:val="1"/>
      <w:numFmt w:val="bullet"/>
      <w:lvlText w:val=""/>
      <w:lvlJc w:val="left"/>
      <w:pPr>
        <w:ind w:left="720" w:hanging="360"/>
      </w:pPr>
      <w:rPr>
        <w:rFonts w:ascii="Symbol" w:hAnsi="Symbol" w:hint="default"/>
      </w:rPr>
    </w:lvl>
    <w:lvl w:ilvl="1" w:tplc="BC9412C4">
      <w:start w:val="1"/>
      <w:numFmt w:val="bullet"/>
      <w:lvlText w:val="o"/>
      <w:lvlJc w:val="left"/>
      <w:pPr>
        <w:ind w:left="1440" w:hanging="360"/>
      </w:pPr>
      <w:rPr>
        <w:rFonts w:ascii="Courier New" w:hAnsi="Courier New" w:hint="default"/>
      </w:rPr>
    </w:lvl>
    <w:lvl w:ilvl="2" w:tplc="29C2841C">
      <w:start w:val="1"/>
      <w:numFmt w:val="bullet"/>
      <w:lvlText w:val=""/>
      <w:lvlJc w:val="left"/>
      <w:pPr>
        <w:ind w:left="2160" w:hanging="360"/>
      </w:pPr>
      <w:rPr>
        <w:rFonts w:ascii="Wingdings" w:hAnsi="Wingdings" w:hint="default"/>
      </w:rPr>
    </w:lvl>
    <w:lvl w:ilvl="3" w:tplc="8546731A">
      <w:start w:val="1"/>
      <w:numFmt w:val="bullet"/>
      <w:lvlText w:val=""/>
      <w:lvlJc w:val="left"/>
      <w:pPr>
        <w:ind w:left="2880" w:hanging="360"/>
      </w:pPr>
      <w:rPr>
        <w:rFonts w:ascii="Symbol" w:hAnsi="Symbol" w:hint="default"/>
      </w:rPr>
    </w:lvl>
    <w:lvl w:ilvl="4" w:tplc="3718E2B0">
      <w:start w:val="1"/>
      <w:numFmt w:val="bullet"/>
      <w:lvlText w:val="o"/>
      <w:lvlJc w:val="left"/>
      <w:pPr>
        <w:ind w:left="3600" w:hanging="360"/>
      </w:pPr>
      <w:rPr>
        <w:rFonts w:ascii="Courier New" w:hAnsi="Courier New" w:hint="default"/>
      </w:rPr>
    </w:lvl>
    <w:lvl w:ilvl="5" w:tplc="030E7B74">
      <w:start w:val="1"/>
      <w:numFmt w:val="bullet"/>
      <w:lvlText w:val=""/>
      <w:lvlJc w:val="left"/>
      <w:pPr>
        <w:ind w:left="4320" w:hanging="360"/>
      </w:pPr>
      <w:rPr>
        <w:rFonts w:ascii="Wingdings" w:hAnsi="Wingdings" w:hint="default"/>
      </w:rPr>
    </w:lvl>
    <w:lvl w:ilvl="6" w:tplc="A3F219FA">
      <w:start w:val="1"/>
      <w:numFmt w:val="bullet"/>
      <w:lvlText w:val=""/>
      <w:lvlJc w:val="left"/>
      <w:pPr>
        <w:ind w:left="5040" w:hanging="360"/>
      </w:pPr>
      <w:rPr>
        <w:rFonts w:ascii="Symbol" w:hAnsi="Symbol" w:hint="default"/>
      </w:rPr>
    </w:lvl>
    <w:lvl w:ilvl="7" w:tplc="D5F22AD2">
      <w:start w:val="1"/>
      <w:numFmt w:val="bullet"/>
      <w:lvlText w:val="o"/>
      <w:lvlJc w:val="left"/>
      <w:pPr>
        <w:ind w:left="5760" w:hanging="360"/>
      </w:pPr>
      <w:rPr>
        <w:rFonts w:ascii="Courier New" w:hAnsi="Courier New" w:hint="default"/>
      </w:rPr>
    </w:lvl>
    <w:lvl w:ilvl="8" w:tplc="30F45C96">
      <w:start w:val="1"/>
      <w:numFmt w:val="bullet"/>
      <w:lvlText w:val=""/>
      <w:lvlJc w:val="left"/>
      <w:pPr>
        <w:ind w:left="6480" w:hanging="360"/>
      </w:pPr>
      <w:rPr>
        <w:rFonts w:ascii="Wingdings" w:hAnsi="Wingdings" w:hint="default"/>
      </w:rPr>
    </w:lvl>
  </w:abstractNum>
  <w:abstractNum w:abstractNumId="17" w15:restartNumberingAfterBreak="0">
    <w:nsid w:val="714942E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E64A35"/>
    <w:multiLevelType w:val="hybridMultilevel"/>
    <w:tmpl w:val="4C4A1A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18299239">
    <w:abstractNumId w:val="1"/>
  </w:num>
  <w:num w:numId="2" w16cid:durableId="1244535196">
    <w:abstractNumId w:val="14"/>
  </w:num>
  <w:num w:numId="3" w16cid:durableId="1015572216">
    <w:abstractNumId w:val="6"/>
  </w:num>
  <w:num w:numId="4" w16cid:durableId="1514807499">
    <w:abstractNumId w:val="13"/>
  </w:num>
  <w:num w:numId="5" w16cid:durableId="1546986019">
    <w:abstractNumId w:val="9"/>
  </w:num>
  <w:num w:numId="6" w16cid:durableId="1129326849">
    <w:abstractNumId w:val="8"/>
  </w:num>
  <w:num w:numId="7" w16cid:durableId="730269328">
    <w:abstractNumId w:val="3"/>
  </w:num>
  <w:num w:numId="8" w16cid:durableId="1592930909">
    <w:abstractNumId w:val="15"/>
  </w:num>
  <w:num w:numId="9" w16cid:durableId="1799227955">
    <w:abstractNumId w:val="7"/>
  </w:num>
  <w:num w:numId="10" w16cid:durableId="427310981">
    <w:abstractNumId w:val="12"/>
  </w:num>
  <w:num w:numId="11" w16cid:durableId="816000007">
    <w:abstractNumId w:val="17"/>
  </w:num>
  <w:num w:numId="12" w16cid:durableId="1445464592">
    <w:abstractNumId w:val="8"/>
  </w:num>
  <w:num w:numId="13" w16cid:durableId="1929189545">
    <w:abstractNumId w:val="5"/>
  </w:num>
  <w:num w:numId="14" w16cid:durableId="1806124375">
    <w:abstractNumId w:val="16"/>
  </w:num>
  <w:num w:numId="15" w16cid:durableId="1894610742">
    <w:abstractNumId w:val="0"/>
  </w:num>
  <w:num w:numId="16" w16cid:durableId="197133982">
    <w:abstractNumId w:val="4"/>
  </w:num>
  <w:num w:numId="17" w16cid:durableId="1310675518">
    <w:abstractNumId w:val="11"/>
  </w:num>
  <w:num w:numId="18" w16cid:durableId="1228885168">
    <w:abstractNumId w:val="10"/>
  </w:num>
  <w:num w:numId="19" w16cid:durableId="259795622">
    <w:abstractNumId w:val="2"/>
  </w:num>
  <w:num w:numId="20" w16cid:durableId="15285675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B4"/>
    <w:rsid w:val="0001780A"/>
    <w:rsid w:val="00027C5B"/>
    <w:rsid w:val="0004083B"/>
    <w:rsid w:val="00042B15"/>
    <w:rsid w:val="000924E6"/>
    <w:rsid w:val="000972DB"/>
    <w:rsid w:val="000A113D"/>
    <w:rsid w:val="000A349A"/>
    <w:rsid w:val="000B0710"/>
    <w:rsid w:val="000E4F00"/>
    <w:rsid w:val="000F791B"/>
    <w:rsid w:val="00100EEA"/>
    <w:rsid w:val="00110207"/>
    <w:rsid w:val="00122E5E"/>
    <w:rsid w:val="0019307C"/>
    <w:rsid w:val="001B4265"/>
    <w:rsid w:val="001C1CF0"/>
    <w:rsid w:val="001D3603"/>
    <w:rsid w:val="001D5E1D"/>
    <w:rsid w:val="001E07E3"/>
    <w:rsid w:val="00204F24"/>
    <w:rsid w:val="002300B6"/>
    <w:rsid w:val="002304E2"/>
    <w:rsid w:val="0023431C"/>
    <w:rsid w:val="00274D4F"/>
    <w:rsid w:val="002A23B5"/>
    <w:rsid w:val="002B569F"/>
    <w:rsid w:val="002C6D07"/>
    <w:rsid w:val="002E04FF"/>
    <w:rsid w:val="002E669A"/>
    <w:rsid w:val="002F3221"/>
    <w:rsid w:val="002F4331"/>
    <w:rsid w:val="002F68C2"/>
    <w:rsid w:val="003072EC"/>
    <w:rsid w:val="00314BAC"/>
    <w:rsid w:val="00352590"/>
    <w:rsid w:val="003608B9"/>
    <w:rsid w:val="00361078"/>
    <w:rsid w:val="00362B80"/>
    <w:rsid w:val="003677E2"/>
    <w:rsid w:val="003739BF"/>
    <w:rsid w:val="003A9402"/>
    <w:rsid w:val="003D1C06"/>
    <w:rsid w:val="003D4344"/>
    <w:rsid w:val="003FFC5A"/>
    <w:rsid w:val="00413E5C"/>
    <w:rsid w:val="0043365B"/>
    <w:rsid w:val="00437C57"/>
    <w:rsid w:val="00443953"/>
    <w:rsid w:val="0045722E"/>
    <w:rsid w:val="004721F8"/>
    <w:rsid w:val="00480AC7"/>
    <w:rsid w:val="00487F2F"/>
    <w:rsid w:val="004A20C1"/>
    <w:rsid w:val="004A3B93"/>
    <w:rsid w:val="004B3BE0"/>
    <w:rsid w:val="005118F2"/>
    <w:rsid w:val="00522EDB"/>
    <w:rsid w:val="0053270F"/>
    <w:rsid w:val="0056757F"/>
    <w:rsid w:val="00567C1A"/>
    <w:rsid w:val="00571ADC"/>
    <w:rsid w:val="00578AF8"/>
    <w:rsid w:val="00582E60"/>
    <w:rsid w:val="005906A1"/>
    <w:rsid w:val="00595F4F"/>
    <w:rsid w:val="005C7D10"/>
    <w:rsid w:val="005D07FC"/>
    <w:rsid w:val="005E7EE3"/>
    <w:rsid w:val="006014B2"/>
    <w:rsid w:val="006023A5"/>
    <w:rsid w:val="0061048A"/>
    <w:rsid w:val="0061258D"/>
    <w:rsid w:val="00615650"/>
    <w:rsid w:val="00651E53"/>
    <w:rsid w:val="0068444F"/>
    <w:rsid w:val="006A7B43"/>
    <w:rsid w:val="006C7BE0"/>
    <w:rsid w:val="006D3D32"/>
    <w:rsid w:val="006D6823"/>
    <w:rsid w:val="006E7C44"/>
    <w:rsid w:val="006F377F"/>
    <w:rsid w:val="00705F90"/>
    <w:rsid w:val="00712D72"/>
    <w:rsid w:val="00713F1C"/>
    <w:rsid w:val="00714783"/>
    <w:rsid w:val="007166E2"/>
    <w:rsid w:val="00752650"/>
    <w:rsid w:val="00794492"/>
    <w:rsid w:val="007A6156"/>
    <w:rsid w:val="007B231A"/>
    <w:rsid w:val="007C0F3D"/>
    <w:rsid w:val="007E0333"/>
    <w:rsid w:val="007F261D"/>
    <w:rsid w:val="0080745A"/>
    <w:rsid w:val="00895568"/>
    <w:rsid w:val="00896887"/>
    <w:rsid w:val="008A2137"/>
    <w:rsid w:val="008C62C1"/>
    <w:rsid w:val="008E24F9"/>
    <w:rsid w:val="008E6F3A"/>
    <w:rsid w:val="008F17DD"/>
    <w:rsid w:val="008F3F28"/>
    <w:rsid w:val="009359EC"/>
    <w:rsid w:val="00943293"/>
    <w:rsid w:val="009449B4"/>
    <w:rsid w:val="009574E9"/>
    <w:rsid w:val="00973B24"/>
    <w:rsid w:val="009A1D5B"/>
    <w:rsid w:val="009A78A3"/>
    <w:rsid w:val="009B0209"/>
    <w:rsid w:val="009D6BB3"/>
    <w:rsid w:val="009D7013"/>
    <w:rsid w:val="009D7324"/>
    <w:rsid w:val="009E1FA3"/>
    <w:rsid w:val="009E5227"/>
    <w:rsid w:val="00A128D4"/>
    <w:rsid w:val="00A52E22"/>
    <w:rsid w:val="00A606F7"/>
    <w:rsid w:val="00A60818"/>
    <w:rsid w:val="00A617DA"/>
    <w:rsid w:val="00A7347A"/>
    <w:rsid w:val="00A845D6"/>
    <w:rsid w:val="00A9AE41"/>
    <w:rsid w:val="00AB1A96"/>
    <w:rsid w:val="00AC10CB"/>
    <w:rsid w:val="00AC1CD4"/>
    <w:rsid w:val="00AF7D5B"/>
    <w:rsid w:val="00B13AD9"/>
    <w:rsid w:val="00B40BDC"/>
    <w:rsid w:val="00B5684A"/>
    <w:rsid w:val="00B71BFB"/>
    <w:rsid w:val="00B74D24"/>
    <w:rsid w:val="00B83061"/>
    <w:rsid w:val="00BB7B3C"/>
    <w:rsid w:val="00BD46CE"/>
    <w:rsid w:val="00BE411D"/>
    <w:rsid w:val="00BF03DC"/>
    <w:rsid w:val="00C142FA"/>
    <w:rsid w:val="00C30311"/>
    <w:rsid w:val="00C34664"/>
    <w:rsid w:val="00C47E51"/>
    <w:rsid w:val="00C7688B"/>
    <w:rsid w:val="00C940B4"/>
    <w:rsid w:val="00CA260A"/>
    <w:rsid w:val="00CB5D0C"/>
    <w:rsid w:val="00CC1799"/>
    <w:rsid w:val="00CC770D"/>
    <w:rsid w:val="00CD052E"/>
    <w:rsid w:val="00CF2D9D"/>
    <w:rsid w:val="00CF528D"/>
    <w:rsid w:val="00D01699"/>
    <w:rsid w:val="00D11C63"/>
    <w:rsid w:val="00D21432"/>
    <w:rsid w:val="00D42B07"/>
    <w:rsid w:val="00DA75F5"/>
    <w:rsid w:val="00DB2FB3"/>
    <w:rsid w:val="00DB484D"/>
    <w:rsid w:val="00DD3051"/>
    <w:rsid w:val="00DD780E"/>
    <w:rsid w:val="00DF292E"/>
    <w:rsid w:val="00E11099"/>
    <w:rsid w:val="00E24F2B"/>
    <w:rsid w:val="00E55E56"/>
    <w:rsid w:val="00E66ECB"/>
    <w:rsid w:val="00E86EBE"/>
    <w:rsid w:val="00E87248"/>
    <w:rsid w:val="00E937E5"/>
    <w:rsid w:val="00E94347"/>
    <w:rsid w:val="00EC7E07"/>
    <w:rsid w:val="00F002C3"/>
    <w:rsid w:val="00F21DD6"/>
    <w:rsid w:val="00F4090A"/>
    <w:rsid w:val="00F57183"/>
    <w:rsid w:val="00F620A0"/>
    <w:rsid w:val="00F62EA0"/>
    <w:rsid w:val="00F72437"/>
    <w:rsid w:val="00F81E76"/>
    <w:rsid w:val="00F942C3"/>
    <w:rsid w:val="00FA2383"/>
    <w:rsid w:val="00FE4C14"/>
    <w:rsid w:val="00FE5BDC"/>
    <w:rsid w:val="0181A104"/>
    <w:rsid w:val="01BBA872"/>
    <w:rsid w:val="01F8511C"/>
    <w:rsid w:val="0244E0E1"/>
    <w:rsid w:val="024AE205"/>
    <w:rsid w:val="02793FE2"/>
    <w:rsid w:val="02913B2B"/>
    <w:rsid w:val="02BE1DDC"/>
    <w:rsid w:val="02CD28A1"/>
    <w:rsid w:val="02DCFBDE"/>
    <w:rsid w:val="02EB264F"/>
    <w:rsid w:val="03004878"/>
    <w:rsid w:val="03011286"/>
    <w:rsid w:val="032BBCFB"/>
    <w:rsid w:val="033D31A8"/>
    <w:rsid w:val="03422009"/>
    <w:rsid w:val="0346FB54"/>
    <w:rsid w:val="036EC84B"/>
    <w:rsid w:val="037FECAC"/>
    <w:rsid w:val="03CFCB24"/>
    <w:rsid w:val="04163E66"/>
    <w:rsid w:val="0429413D"/>
    <w:rsid w:val="04751AD6"/>
    <w:rsid w:val="0489E11E"/>
    <w:rsid w:val="0494BC56"/>
    <w:rsid w:val="0495E65C"/>
    <w:rsid w:val="049DDF7C"/>
    <w:rsid w:val="04A97259"/>
    <w:rsid w:val="04F26EF8"/>
    <w:rsid w:val="0508E1AC"/>
    <w:rsid w:val="054F3215"/>
    <w:rsid w:val="056A738E"/>
    <w:rsid w:val="05712176"/>
    <w:rsid w:val="05809DE4"/>
    <w:rsid w:val="0581FD2C"/>
    <w:rsid w:val="05944429"/>
    <w:rsid w:val="059CB8F0"/>
    <w:rsid w:val="05EBA207"/>
    <w:rsid w:val="05F3E559"/>
    <w:rsid w:val="05F574BD"/>
    <w:rsid w:val="05FD9FC3"/>
    <w:rsid w:val="063184F9"/>
    <w:rsid w:val="067E74FF"/>
    <w:rsid w:val="0691A778"/>
    <w:rsid w:val="06BE6850"/>
    <w:rsid w:val="06E6CF8B"/>
    <w:rsid w:val="07176573"/>
    <w:rsid w:val="074B6B3D"/>
    <w:rsid w:val="0766638F"/>
    <w:rsid w:val="0769F35C"/>
    <w:rsid w:val="0777D2C6"/>
    <w:rsid w:val="0789451F"/>
    <w:rsid w:val="07925E62"/>
    <w:rsid w:val="07AE6F88"/>
    <w:rsid w:val="07F68D4F"/>
    <w:rsid w:val="07FADE19"/>
    <w:rsid w:val="07FC990C"/>
    <w:rsid w:val="080232EA"/>
    <w:rsid w:val="080E0272"/>
    <w:rsid w:val="0822D294"/>
    <w:rsid w:val="083F7D71"/>
    <w:rsid w:val="08483239"/>
    <w:rsid w:val="089F9B0C"/>
    <w:rsid w:val="08C8BB43"/>
    <w:rsid w:val="08F1B07A"/>
    <w:rsid w:val="09707CB3"/>
    <w:rsid w:val="0980D772"/>
    <w:rsid w:val="098FB27F"/>
    <w:rsid w:val="09961F07"/>
    <w:rsid w:val="099E9D9C"/>
    <w:rsid w:val="09DB259B"/>
    <w:rsid w:val="09DB6FD6"/>
    <w:rsid w:val="0A5902D9"/>
    <w:rsid w:val="0A5E2947"/>
    <w:rsid w:val="0A5FDA3B"/>
    <w:rsid w:val="0A6DBA26"/>
    <w:rsid w:val="0A978B92"/>
    <w:rsid w:val="0AA20D7F"/>
    <w:rsid w:val="0AB9B8FF"/>
    <w:rsid w:val="0AD4A196"/>
    <w:rsid w:val="0AFE15F9"/>
    <w:rsid w:val="0B4A31C8"/>
    <w:rsid w:val="0B611F09"/>
    <w:rsid w:val="0BE66CDD"/>
    <w:rsid w:val="0C0DC4F4"/>
    <w:rsid w:val="0C14EB76"/>
    <w:rsid w:val="0C369DF3"/>
    <w:rsid w:val="0CD11EF3"/>
    <w:rsid w:val="0CF93D99"/>
    <w:rsid w:val="0D426ED8"/>
    <w:rsid w:val="0D54FB64"/>
    <w:rsid w:val="0D6937E3"/>
    <w:rsid w:val="0D784DA1"/>
    <w:rsid w:val="0DB4F87E"/>
    <w:rsid w:val="0DC41DEA"/>
    <w:rsid w:val="0DC665CF"/>
    <w:rsid w:val="0DF52F8D"/>
    <w:rsid w:val="0DF569DF"/>
    <w:rsid w:val="0E0CDD95"/>
    <w:rsid w:val="0E104D1E"/>
    <w:rsid w:val="0E206AD7"/>
    <w:rsid w:val="0E2CC612"/>
    <w:rsid w:val="0E34F3C5"/>
    <w:rsid w:val="0E48829F"/>
    <w:rsid w:val="0E61E82D"/>
    <w:rsid w:val="0E69C6DA"/>
    <w:rsid w:val="0E9522E8"/>
    <w:rsid w:val="0EBEBE5B"/>
    <w:rsid w:val="0ECC93D6"/>
    <w:rsid w:val="0F405597"/>
    <w:rsid w:val="0F618B1E"/>
    <w:rsid w:val="0F7534F1"/>
    <w:rsid w:val="0F75E54D"/>
    <w:rsid w:val="0FAF8C7D"/>
    <w:rsid w:val="0FCB8EA4"/>
    <w:rsid w:val="0FD8C8E4"/>
    <w:rsid w:val="100AF2D9"/>
    <w:rsid w:val="101CCCC6"/>
    <w:rsid w:val="1025B404"/>
    <w:rsid w:val="1026AFF2"/>
    <w:rsid w:val="102BBCE7"/>
    <w:rsid w:val="10911CE0"/>
    <w:rsid w:val="109FB230"/>
    <w:rsid w:val="10ABF46D"/>
    <w:rsid w:val="10BC354A"/>
    <w:rsid w:val="10EA8E06"/>
    <w:rsid w:val="10FABC65"/>
    <w:rsid w:val="111B7DC5"/>
    <w:rsid w:val="11212335"/>
    <w:rsid w:val="11596BB9"/>
    <w:rsid w:val="11ABEED6"/>
    <w:rsid w:val="1202DE8D"/>
    <w:rsid w:val="12093ACC"/>
    <w:rsid w:val="121F8B94"/>
    <w:rsid w:val="12944FD0"/>
    <w:rsid w:val="12978CC3"/>
    <w:rsid w:val="12BD899B"/>
    <w:rsid w:val="12C18D78"/>
    <w:rsid w:val="12C316EF"/>
    <w:rsid w:val="12C4E2E6"/>
    <w:rsid w:val="12D1CAD3"/>
    <w:rsid w:val="12DDB693"/>
    <w:rsid w:val="12EAC4DE"/>
    <w:rsid w:val="130F8C5D"/>
    <w:rsid w:val="133C4884"/>
    <w:rsid w:val="139DC7BA"/>
    <w:rsid w:val="13ACC8AF"/>
    <w:rsid w:val="13B7AD5D"/>
    <w:rsid w:val="13D2E19E"/>
    <w:rsid w:val="14011582"/>
    <w:rsid w:val="14254937"/>
    <w:rsid w:val="14282533"/>
    <w:rsid w:val="142F93B0"/>
    <w:rsid w:val="143F0DF3"/>
    <w:rsid w:val="14C006BA"/>
    <w:rsid w:val="15355240"/>
    <w:rsid w:val="154C6CFF"/>
    <w:rsid w:val="157F109D"/>
    <w:rsid w:val="15A19563"/>
    <w:rsid w:val="15C28F2C"/>
    <w:rsid w:val="16198B66"/>
    <w:rsid w:val="16573FA7"/>
    <w:rsid w:val="1665776E"/>
    <w:rsid w:val="167496AD"/>
    <w:rsid w:val="16C1CAD9"/>
    <w:rsid w:val="16D74C1C"/>
    <w:rsid w:val="175C53E6"/>
    <w:rsid w:val="176D24A7"/>
    <w:rsid w:val="179C8259"/>
    <w:rsid w:val="17C2C279"/>
    <w:rsid w:val="1816854D"/>
    <w:rsid w:val="182D3695"/>
    <w:rsid w:val="183A3FF5"/>
    <w:rsid w:val="187C2C2E"/>
    <w:rsid w:val="18D2F342"/>
    <w:rsid w:val="192616DF"/>
    <w:rsid w:val="192EF4A3"/>
    <w:rsid w:val="19313455"/>
    <w:rsid w:val="1932C0D7"/>
    <w:rsid w:val="1943597A"/>
    <w:rsid w:val="19480139"/>
    <w:rsid w:val="194CBFD2"/>
    <w:rsid w:val="196646C9"/>
    <w:rsid w:val="19725E9D"/>
    <w:rsid w:val="19760123"/>
    <w:rsid w:val="1976DD10"/>
    <w:rsid w:val="19856745"/>
    <w:rsid w:val="19A1D654"/>
    <w:rsid w:val="1A0E643C"/>
    <w:rsid w:val="1A1FD044"/>
    <w:rsid w:val="1A24C681"/>
    <w:rsid w:val="1A2EE1DD"/>
    <w:rsid w:val="1A4A5FE5"/>
    <w:rsid w:val="1A7FE42F"/>
    <w:rsid w:val="1AC3EA1E"/>
    <w:rsid w:val="1AD1356E"/>
    <w:rsid w:val="1ADA50E9"/>
    <w:rsid w:val="1B1DF86E"/>
    <w:rsid w:val="1B559F4D"/>
    <w:rsid w:val="1BB52A72"/>
    <w:rsid w:val="1BC3CBC2"/>
    <w:rsid w:val="1C578788"/>
    <w:rsid w:val="1C74897C"/>
    <w:rsid w:val="1CB6166B"/>
    <w:rsid w:val="1CE001F6"/>
    <w:rsid w:val="1CE16696"/>
    <w:rsid w:val="1D0FC5A7"/>
    <w:rsid w:val="1D147FBE"/>
    <w:rsid w:val="1D179EA9"/>
    <w:rsid w:val="1D6A3537"/>
    <w:rsid w:val="1D989748"/>
    <w:rsid w:val="1DD0FC72"/>
    <w:rsid w:val="1DD8F612"/>
    <w:rsid w:val="1E0BA9C4"/>
    <w:rsid w:val="1EAFC96B"/>
    <w:rsid w:val="1ED15A0A"/>
    <w:rsid w:val="1ED65605"/>
    <w:rsid w:val="1EEDA148"/>
    <w:rsid w:val="1EFCF9BB"/>
    <w:rsid w:val="1F057AE6"/>
    <w:rsid w:val="1F2BF58C"/>
    <w:rsid w:val="1F5CB13E"/>
    <w:rsid w:val="1F65CDC9"/>
    <w:rsid w:val="1F81A683"/>
    <w:rsid w:val="1F81BEB8"/>
    <w:rsid w:val="1F8EB9DF"/>
    <w:rsid w:val="1FF5474E"/>
    <w:rsid w:val="201D23B8"/>
    <w:rsid w:val="201FADDA"/>
    <w:rsid w:val="2044D217"/>
    <w:rsid w:val="205B83FD"/>
    <w:rsid w:val="208B43D6"/>
    <w:rsid w:val="20A3AC3A"/>
    <w:rsid w:val="20B41709"/>
    <w:rsid w:val="20D8FE7F"/>
    <w:rsid w:val="20E43766"/>
    <w:rsid w:val="20E9E17F"/>
    <w:rsid w:val="21133EA8"/>
    <w:rsid w:val="2115D1DA"/>
    <w:rsid w:val="211DB95D"/>
    <w:rsid w:val="21506666"/>
    <w:rsid w:val="215912E5"/>
    <w:rsid w:val="215DC9D8"/>
    <w:rsid w:val="21940D32"/>
    <w:rsid w:val="21A725A9"/>
    <w:rsid w:val="21BC3AD1"/>
    <w:rsid w:val="21BE6B72"/>
    <w:rsid w:val="21E73290"/>
    <w:rsid w:val="22046327"/>
    <w:rsid w:val="222E418E"/>
    <w:rsid w:val="2233CF8F"/>
    <w:rsid w:val="224DEDAF"/>
    <w:rsid w:val="225582AE"/>
    <w:rsid w:val="22891816"/>
    <w:rsid w:val="22AEB810"/>
    <w:rsid w:val="22CE684B"/>
    <w:rsid w:val="22CFDC41"/>
    <w:rsid w:val="22D590EC"/>
    <w:rsid w:val="23183ED7"/>
    <w:rsid w:val="231A1189"/>
    <w:rsid w:val="233EEB3E"/>
    <w:rsid w:val="236203E3"/>
    <w:rsid w:val="236E34BA"/>
    <w:rsid w:val="239AED92"/>
    <w:rsid w:val="23C94B68"/>
    <w:rsid w:val="2402EBD1"/>
    <w:rsid w:val="242F4EC4"/>
    <w:rsid w:val="2435BF91"/>
    <w:rsid w:val="247779D1"/>
    <w:rsid w:val="24AB7B70"/>
    <w:rsid w:val="24B4D51B"/>
    <w:rsid w:val="25484C91"/>
    <w:rsid w:val="25715ABE"/>
    <w:rsid w:val="25799289"/>
    <w:rsid w:val="257BE9E2"/>
    <w:rsid w:val="258934E7"/>
    <w:rsid w:val="258A5286"/>
    <w:rsid w:val="25DFCFAD"/>
    <w:rsid w:val="26032A12"/>
    <w:rsid w:val="261213B5"/>
    <w:rsid w:val="262D7F84"/>
    <w:rsid w:val="26329E5F"/>
    <w:rsid w:val="264D727A"/>
    <w:rsid w:val="266B5FBF"/>
    <w:rsid w:val="26884720"/>
    <w:rsid w:val="2689A26A"/>
    <w:rsid w:val="26EA43C3"/>
    <w:rsid w:val="26ED06D3"/>
    <w:rsid w:val="2724DEB6"/>
    <w:rsid w:val="274BF678"/>
    <w:rsid w:val="27515F76"/>
    <w:rsid w:val="27549806"/>
    <w:rsid w:val="277891C2"/>
    <w:rsid w:val="2779DDA9"/>
    <w:rsid w:val="277E21E4"/>
    <w:rsid w:val="27B2BF16"/>
    <w:rsid w:val="27B64445"/>
    <w:rsid w:val="27FBFF06"/>
    <w:rsid w:val="2803E458"/>
    <w:rsid w:val="2808B163"/>
    <w:rsid w:val="281F24A8"/>
    <w:rsid w:val="2836CCB2"/>
    <w:rsid w:val="2863A07B"/>
    <w:rsid w:val="286624A6"/>
    <w:rsid w:val="2886E0A7"/>
    <w:rsid w:val="2888CBA2"/>
    <w:rsid w:val="28A7644E"/>
    <w:rsid w:val="28B422F2"/>
    <w:rsid w:val="28EB384E"/>
    <w:rsid w:val="28F8EC9C"/>
    <w:rsid w:val="28FD0B0E"/>
    <w:rsid w:val="292BFFBE"/>
    <w:rsid w:val="299F39B3"/>
    <w:rsid w:val="29C2D0F1"/>
    <w:rsid w:val="29D843F4"/>
    <w:rsid w:val="29EDFC92"/>
    <w:rsid w:val="29F5DF9C"/>
    <w:rsid w:val="2A360BD1"/>
    <w:rsid w:val="2A5B8D7F"/>
    <w:rsid w:val="2A729DCF"/>
    <w:rsid w:val="2A878515"/>
    <w:rsid w:val="2AC1A7F1"/>
    <w:rsid w:val="2B69269F"/>
    <w:rsid w:val="2BA6F58A"/>
    <w:rsid w:val="2BD450EF"/>
    <w:rsid w:val="2C1B9AB9"/>
    <w:rsid w:val="2C626391"/>
    <w:rsid w:val="2C6C678F"/>
    <w:rsid w:val="2CC7AD0E"/>
    <w:rsid w:val="2CCDDFD9"/>
    <w:rsid w:val="2D66DD81"/>
    <w:rsid w:val="2DB8A130"/>
    <w:rsid w:val="2DC045A1"/>
    <w:rsid w:val="2E052CF5"/>
    <w:rsid w:val="2E54A082"/>
    <w:rsid w:val="2E644707"/>
    <w:rsid w:val="2E68402D"/>
    <w:rsid w:val="2E83D2B3"/>
    <w:rsid w:val="2E8436A0"/>
    <w:rsid w:val="2E8B39AF"/>
    <w:rsid w:val="2E949B6F"/>
    <w:rsid w:val="2EA37470"/>
    <w:rsid w:val="2ED44065"/>
    <w:rsid w:val="2EF45FF2"/>
    <w:rsid w:val="2EFD9F00"/>
    <w:rsid w:val="2F0B06B2"/>
    <w:rsid w:val="2F14280A"/>
    <w:rsid w:val="2F43F60A"/>
    <w:rsid w:val="2F747B38"/>
    <w:rsid w:val="2FA58B1C"/>
    <w:rsid w:val="2FC342B1"/>
    <w:rsid w:val="3000A875"/>
    <w:rsid w:val="300813B9"/>
    <w:rsid w:val="3022CD7E"/>
    <w:rsid w:val="30366A35"/>
    <w:rsid w:val="30E01628"/>
    <w:rsid w:val="30EF1311"/>
    <w:rsid w:val="30F28659"/>
    <w:rsid w:val="3103DC24"/>
    <w:rsid w:val="317C3A44"/>
    <w:rsid w:val="318A3C4B"/>
    <w:rsid w:val="319B9E36"/>
    <w:rsid w:val="31BDD1C4"/>
    <w:rsid w:val="31F0CC2D"/>
    <w:rsid w:val="31F1C4B2"/>
    <w:rsid w:val="3221B809"/>
    <w:rsid w:val="3224012E"/>
    <w:rsid w:val="32675A5A"/>
    <w:rsid w:val="32FB27A3"/>
    <w:rsid w:val="332D765E"/>
    <w:rsid w:val="33704BDB"/>
    <w:rsid w:val="337996BD"/>
    <w:rsid w:val="3381C9B8"/>
    <w:rsid w:val="3381F631"/>
    <w:rsid w:val="338CE6CC"/>
    <w:rsid w:val="33CE5725"/>
    <w:rsid w:val="33D2ACBF"/>
    <w:rsid w:val="33EC1BCA"/>
    <w:rsid w:val="34CEF370"/>
    <w:rsid w:val="34E03F3F"/>
    <w:rsid w:val="34E20B32"/>
    <w:rsid w:val="34FC8794"/>
    <w:rsid w:val="351487F2"/>
    <w:rsid w:val="351EEBDB"/>
    <w:rsid w:val="352190C6"/>
    <w:rsid w:val="352B3D91"/>
    <w:rsid w:val="35577971"/>
    <w:rsid w:val="361DDB96"/>
    <w:rsid w:val="362F9398"/>
    <w:rsid w:val="3630A304"/>
    <w:rsid w:val="36805A28"/>
    <w:rsid w:val="368FCBED"/>
    <w:rsid w:val="36B33C9B"/>
    <w:rsid w:val="36C0E656"/>
    <w:rsid w:val="36E01F83"/>
    <w:rsid w:val="36EBC9E9"/>
    <w:rsid w:val="371932E0"/>
    <w:rsid w:val="372A2764"/>
    <w:rsid w:val="375545DB"/>
    <w:rsid w:val="37613A65"/>
    <w:rsid w:val="37950D22"/>
    <w:rsid w:val="3854A806"/>
    <w:rsid w:val="385FEAA1"/>
    <w:rsid w:val="38D9BE73"/>
    <w:rsid w:val="38E9923C"/>
    <w:rsid w:val="391BADF9"/>
    <w:rsid w:val="3958CBCE"/>
    <w:rsid w:val="396F7F18"/>
    <w:rsid w:val="3985D32F"/>
    <w:rsid w:val="3999DC4C"/>
    <w:rsid w:val="39A8771F"/>
    <w:rsid w:val="39B92A0D"/>
    <w:rsid w:val="39CCDAC2"/>
    <w:rsid w:val="39EB267F"/>
    <w:rsid w:val="39F50AFA"/>
    <w:rsid w:val="3A13DD5B"/>
    <w:rsid w:val="3A1CE293"/>
    <w:rsid w:val="3A94C62C"/>
    <w:rsid w:val="3AA511BB"/>
    <w:rsid w:val="3AB09953"/>
    <w:rsid w:val="3B3BACA1"/>
    <w:rsid w:val="3BBC1D4B"/>
    <w:rsid w:val="3BC2CC3E"/>
    <w:rsid w:val="3BC2EE6F"/>
    <w:rsid w:val="3BF2E0C9"/>
    <w:rsid w:val="3BFFE871"/>
    <w:rsid w:val="3C03FC73"/>
    <w:rsid w:val="3C215A00"/>
    <w:rsid w:val="3C666E05"/>
    <w:rsid w:val="3C768724"/>
    <w:rsid w:val="3C9167F2"/>
    <w:rsid w:val="3CA31581"/>
    <w:rsid w:val="3CBA653E"/>
    <w:rsid w:val="3CD6D659"/>
    <w:rsid w:val="3CEE388F"/>
    <w:rsid w:val="3CFA4CA4"/>
    <w:rsid w:val="3D31D7D4"/>
    <w:rsid w:val="3D33CEA6"/>
    <w:rsid w:val="3D381F33"/>
    <w:rsid w:val="3D610D3E"/>
    <w:rsid w:val="3D613CCE"/>
    <w:rsid w:val="3DCCC285"/>
    <w:rsid w:val="3DFDAD0A"/>
    <w:rsid w:val="3E4ED9D0"/>
    <w:rsid w:val="3E57A954"/>
    <w:rsid w:val="3E7469EE"/>
    <w:rsid w:val="3E7D229A"/>
    <w:rsid w:val="3E8D537C"/>
    <w:rsid w:val="3E92F184"/>
    <w:rsid w:val="3EA84CCD"/>
    <w:rsid w:val="3EEE49A7"/>
    <w:rsid w:val="3F047D14"/>
    <w:rsid w:val="3F365AC3"/>
    <w:rsid w:val="3F539B70"/>
    <w:rsid w:val="3F5A89A2"/>
    <w:rsid w:val="3F8A3368"/>
    <w:rsid w:val="3FBDE76C"/>
    <w:rsid w:val="4019764B"/>
    <w:rsid w:val="40820784"/>
    <w:rsid w:val="40B7E35F"/>
    <w:rsid w:val="40B9DDDD"/>
    <w:rsid w:val="40E1AF31"/>
    <w:rsid w:val="41132054"/>
    <w:rsid w:val="4160251E"/>
    <w:rsid w:val="416D6DF1"/>
    <w:rsid w:val="417064C6"/>
    <w:rsid w:val="417986CB"/>
    <w:rsid w:val="417A3B13"/>
    <w:rsid w:val="418D0691"/>
    <w:rsid w:val="419BA0AE"/>
    <w:rsid w:val="420BFC12"/>
    <w:rsid w:val="4228D6FB"/>
    <w:rsid w:val="42420FC1"/>
    <w:rsid w:val="42456D91"/>
    <w:rsid w:val="4268BA4A"/>
    <w:rsid w:val="426E794B"/>
    <w:rsid w:val="42B1D0F5"/>
    <w:rsid w:val="42DC85C5"/>
    <w:rsid w:val="430BC8AF"/>
    <w:rsid w:val="43370DB0"/>
    <w:rsid w:val="43480DAC"/>
    <w:rsid w:val="43B9A678"/>
    <w:rsid w:val="43C5DE8C"/>
    <w:rsid w:val="43F4F4CE"/>
    <w:rsid w:val="43F58089"/>
    <w:rsid w:val="4400DF1E"/>
    <w:rsid w:val="440121F2"/>
    <w:rsid w:val="44145469"/>
    <w:rsid w:val="44146CE6"/>
    <w:rsid w:val="4419DBDE"/>
    <w:rsid w:val="443E8B15"/>
    <w:rsid w:val="444CCB43"/>
    <w:rsid w:val="445A45ED"/>
    <w:rsid w:val="447BFDA1"/>
    <w:rsid w:val="44D15FEB"/>
    <w:rsid w:val="44F04F6F"/>
    <w:rsid w:val="44F266AA"/>
    <w:rsid w:val="44FC68BC"/>
    <w:rsid w:val="4512BF50"/>
    <w:rsid w:val="451A774D"/>
    <w:rsid w:val="45267E58"/>
    <w:rsid w:val="45382DC9"/>
    <w:rsid w:val="453BD3D9"/>
    <w:rsid w:val="45647552"/>
    <w:rsid w:val="456BC0A4"/>
    <w:rsid w:val="45B5B50E"/>
    <w:rsid w:val="45BDF101"/>
    <w:rsid w:val="45DCF4B3"/>
    <w:rsid w:val="45FFD58B"/>
    <w:rsid w:val="46088212"/>
    <w:rsid w:val="460DDF48"/>
    <w:rsid w:val="46563F65"/>
    <w:rsid w:val="4659F2B0"/>
    <w:rsid w:val="468F676C"/>
    <w:rsid w:val="468F7A0E"/>
    <w:rsid w:val="46CCF1DE"/>
    <w:rsid w:val="46DF823F"/>
    <w:rsid w:val="4737A8D5"/>
    <w:rsid w:val="4740C8AD"/>
    <w:rsid w:val="4742C33E"/>
    <w:rsid w:val="475D9061"/>
    <w:rsid w:val="479F592B"/>
    <w:rsid w:val="47CD97F6"/>
    <w:rsid w:val="481D4047"/>
    <w:rsid w:val="4847421D"/>
    <w:rsid w:val="4848549B"/>
    <w:rsid w:val="4849564C"/>
    <w:rsid w:val="487BC228"/>
    <w:rsid w:val="488ED0EB"/>
    <w:rsid w:val="48D073B1"/>
    <w:rsid w:val="491991B5"/>
    <w:rsid w:val="49353974"/>
    <w:rsid w:val="49357B4A"/>
    <w:rsid w:val="496EA6E4"/>
    <w:rsid w:val="497F9804"/>
    <w:rsid w:val="49AEABA8"/>
    <w:rsid w:val="49D533E8"/>
    <w:rsid w:val="49FCD799"/>
    <w:rsid w:val="4A0B173F"/>
    <w:rsid w:val="4A11C6FE"/>
    <w:rsid w:val="4A1BA025"/>
    <w:rsid w:val="4A215121"/>
    <w:rsid w:val="4A2EDAEE"/>
    <w:rsid w:val="4A5568DC"/>
    <w:rsid w:val="4ABFE3AD"/>
    <w:rsid w:val="4B005EE8"/>
    <w:rsid w:val="4B14DEA0"/>
    <w:rsid w:val="4B429E3D"/>
    <w:rsid w:val="4B97EC27"/>
    <w:rsid w:val="4B9C86B0"/>
    <w:rsid w:val="4BC05DD7"/>
    <w:rsid w:val="4BCA51B5"/>
    <w:rsid w:val="4BE68718"/>
    <w:rsid w:val="4BEA415E"/>
    <w:rsid w:val="4C664803"/>
    <w:rsid w:val="4C75F854"/>
    <w:rsid w:val="4C85778D"/>
    <w:rsid w:val="4C87733E"/>
    <w:rsid w:val="4C92BA96"/>
    <w:rsid w:val="4CA377B4"/>
    <w:rsid w:val="4CC22629"/>
    <w:rsid w:val="4CC7169F"/>
    <w:rsid w:val="4CD9D40A"/>
    <w:rsid w:val="4D12C236"/>
    <w:rsid w:val="4D5A403F"/>
    <w:rsid w:val="4DA91502"/>
    <w:rsid w:val="4E278587"/>
    <w:rsid w:val="4E4A3795"/>
    <w:rsid w:val="4EA12B29"/>
    <w:rsid w:val="4ED5C2F7"/>
    <w:rsid w:val="4EE10696"/>
    <w:rsid w:val="4F073FC1"/>
    <w:rsid w:val="4F1A0DFF"/>
    <w:rsid w:val="4F6D9DDE"/>
    <w:rsid w:val="4F93A548"/>
    <w:rsid w:val="4FC2A9B1"/>
    <w:rsid w:val="4FE82111"/>
    <w:rsid w:val="4FFBB91E"/>
    <w:rsid w:val="501939DA"/>
    <w:rsid w:val="502979E1"/>
    <w:rsid w:val="502EE6A8"/>
    <w:rsid w:val="507B6A0A"/>
    <w:rsid w:val="50BEA30A"/>
    <w:rsid w:val="50D0FBBD"/>
    <w:rsid w:val="50D8E1C4"/>
    <w:rsid w:val="50E5E32E"/>
    <w:rsid w:val="50ECD874"/>
    <w:rsid w:val="50F970FF"/>
    <w:rsid w:val="50FF136A"/>
    <w:rsid w:val="51285189"/>
    <w:rsid w:val="5156857E"/>
    <w:rsid w:val="51755ABC"/>
    <w:rsid w:val="5176D4DE"/>
    <w:rsid w:val="5185AE4F"/>
    <w:rsid w:val="518BB01E"/>
    <w:rsid w:val="51A04910"/>
    <w:rsid w:val="51B53181"/>
    <w:rsid w:val="51C43C68"/>
    <w:rsid w:val="51DE8A69"/>
    <w:rsid w:val="5217291C"/>
    <w:rsid w:val="522C2E4D"/>
    <w:rsid w:val="524E486F"/>
    <w:rsid w:val="525D03DB"/>
    <w:rsid w:val="525EDA1F"/>
    <w:rsid w:val="52744366"/>
    <w:rsid w:val="52B297DF"/>
    <w:rsid w:val="52CA99D2"/>
    <w:rsid w:val="52E08C9F"/>
    <w:rsid w:val="533D9C0E"/>
    <w:rsid w:val="53430185"/>
    <w:rsid w:val="538782C4"/>
    <w:rsid w:val="53A228EB"/>
    <w:rsid w:val="53AA0D53"/>
    <w:rsid w:val="53C87320"/>
    <w:rsid w:val="53EDF6E0"/>
    <w:rsid w:val="53F130EC"/>
    <w:rsid w:val="5417F760"/>
    <w:rsid w:val="54330EBB"/>
    <w:rsid w:val="5438D834"/>
    <w:rsid w:val="54A9B4BB"/>
    <w:rsid w:val="54C81932"/>
    <w:rsid w:val="54E8AFA9"/>
    <w:rsid w:val="54F96E65"/>
    <w:rsid w:val="5534DD49"/>
    <w:rsid w:val="55545773"/>
    <w:rsid w:val="556F10E3"/>
    <w:rsid w:val="55735EB0"/>
    <w:rsid w:val="55A84E2B"/>
    <w:rsid w:val="55C9310D"/>
    <w:rsid w:val="55CB06FD"/>
    <w:rsid w:val="55D5CFDE"/>
    <w:rsid w:val="5645CD42"/>
    <w:rsid w:val="565C1CF9"/>
    <w:rsid w:val="56679C98"/>
    <w:rsid w:val="568C85BC"/>
    <w:rsid w:val="568ED1DA"/>
    <w:rsid w:val="56A41789"/>
    <w:rsid w:val="56B60DAD"/>
    <w:rsid w:val="56B9BD0F"/>
    <w:rsid w:val="56C62787"/>
    <w:rsid w:val="56DA7C99"/>
    <w:rsid w:val="5829E30D"/>
    <w:rsid w:val="584276D9"/>
    <w:rsid w:val="587500E3"/>
    <w:rsid w:val="5879F7C2"/>
    <w:rsid w:val="58AF9010"/>
    <w:rsid w:val="58B3FD1E"/>
    <w:rsid w:val="59523745"/>
    <w:rsid w:val="59622634"/>
    <w:rsid w:val="5971D449"/>
    <w:rsid w:val="59BDBB19"/>
    <w:rsid w:val="59D37FDC"/>
    <w:rsid w:val="59E185F6"/>
    <w:rsid w:val="5A306871"/>
    <w:rsid w:val="5A352F1F"/>
    <w:rsid w:val="5A69EDB0"/>
    <w:rsid w:val="5A7C0D8C"/>
    <w:rsid w:val="5A844177"/>
    <w:rsid w:val="5AA454FE"/>
    <w:rsid w:val="5AA6CCA1"/>
    <w:rsid w:val="5AAA5ED7"/>
    <w:rsid w:val="5B00FACF"/>
    <w:rsid w:val="5B0B6703"/>
    <w:rsid w:val="5B27BD42"/>
    <w:rsid w:val="5B2DBDF0"/>
    <w:rsid w:val="5B394B32"/>
    <w:rsid w:val="5B59BBBD"/>
    <w:rsid w:val="5B8059E1"/>
    <w:rsid w:val="5BC70219"/>
    <w:rsid w:val="5BE08380"/>
    <w:rsid w:val="5BE102AD"/>
    <w:rsid w:val="5C24BE0E"/>
    <w:rsid w:val="5C4656F7"/>
    <w:rsid w:val="5C5C234F"/>
    <w:rsid w:val="5C72E68F"/>
    <w:rsid w:val="5C73A0BE"/>
    <w:rsid w:val="5C928361"/>
    <w:rsid w:val="5C952781"/>
    <w:rsid w:val="5CB51F80"/>
    <w:rsid w:val="5CE6BF4D"/>
    <w:rsid w:val="5CEFFC1D"/>
    <w:rsid w:val="5D0AE342"/>
    <w:rsid w:val="5D2D047E"/>
    <w:rsid w:val="5D452953"/>
    <w:rsid w:val="5D775548"/>
    <w:rsid w:val="5D7B8BA0"/>
    <w:rsid w:val="5D9DF01D"/>
    <w:rsid w:val="5DAB1423"/>
    <w:rsid w:val="5DC186AF"/>
    <w:rsid w:val="5DDA323F"/>
    <w:rsid w:val="5E0768A3"/>
    <w:rsid w:val="5E367843"/>
    <w:rsid w:val="5E7FF2FE"/>
    <w:rsid w:val="5E80CCD1"/>
    <w:rsid w:val="5E8C4E0A"/>
    <w:rsid w:val="5E90E279"/>
    <w:rsid w:val="5EBCEC53"/>
    <w:rsid w:val="5EBD54A8"/>
    <w:rsid w:val="5EE1E23B"/>
    <w:rsid w:val="5EEB4AE1"/>
    <w:rsid w:val="5F08439E"/>
    <w:rsid w:val="5F08E3B7"/>
    <w:rsid w:val="5F350A18"/>
    <w:rsid w:val="5F6F988A"/>
    <w:rsid w:val="5F7F4FD8"/>
    <w:rsid w:val="5F9B2986"/>
    <w:rsid w:val="5FBD473D"/>
    <w:rsid w:val="5FC79C3E"/>
    <w:rsid w:val="5FD6B58A"/>
    <w:rsid w:val="6023E47A"/>
    <w:rsid w:val="604825AD"/>
    <w:rsid w:val="6056BD91"/>
    <w:rsid w:val="6069372B"/>
    <w:rsid w:val="6080C072"/>
    <w:rsid w:val="608CA1E0"/>
    <w:rsid w:val="60C3AA6F"/>
    <w:rsid w:val="61074F4C"/>
    <w:rsid w:val="611819E2"/>
    <w:rsid w:val="61349CDD"/>
    <w:rsid w:val="61410432"/>
    <w:rsid w:val="61550292"/>
    <w:rsid w:val="615DAD54"/>
    <w:rsid w:val="61700129"/>
    <w:rsid w:val="618703D6"/>
    <w:rsid w:val="6189387B"/>
    <w:rsid w:val="61EA3083"/>
    <w:rsid w:val="620FCA06"/>
    <w:rsid w:val="62322772"/>
    <w:rsid w:val="6235885C"/>
    <w:rsid w:val="625271AB"/>
    <w:rsid w:val="6276EC06"/>
    <w:rsid w:val="62CFEE3D"/>
    <w:rsid w:val="63A4705F"/>
    <w:rsid w:val="63C6CE86"/>
    <w:rsid w:val="64047740"/>
    <w:rsid w:val="64231503"/>
    <w:rsid w:val="64418191"/>
    <w:rsid w:val="6450FFAF"/>
    <w:rsid w:val="645F317A"/>
    <w:rsid w:val="647BF223"/>
    <w:rsid w:val="649ECF84"/>
    <w:rsid w:val="64A8981F"/>
    <w:rsid w:val="64C1565A"/>
    <w:rsid w:val="64C3BFA3"/>
    <w:rsid w:val="65003C08"/>
    <w:rsid w:val="6513DB13"/>
    <w:rsid w:val="654DFFF2"/>
    <w:rsid w:val="655DE277"/>
    <w:rsid w:val="658E0A15"/>
    <w:rsid w:val="658E9AAB"/>
    <w:rsid w:val="6590D7FD"/>
    <w:rsid w:val="6591F6D1"/>
    <w:rsid w:val="65B9990B"/>
    <w:rsid w:val="65CA03DD"/>
    <w:rsid w:val="65D9AB60"/>
    <w:rsid w:val="65E49543"/>
    <w:rsid w:val="65EE955C"/>
    <w:rsid w:val="66004773"/>
    <w:rsid w:val="66847206"/>
    <w:rsid w:val="66AD1C4F"/>
    <w:rsid w:val="671962AE"/>
    <w:rsid w:val="67315428"/>
    <w:rsid w:val="67429282"/>
    <w:rsid w:val="675C5689"/>
    <w:rsid w:val="675DC02D"/>
    <w:rsid w:val="67693530"/>
    <w:rsid w:val="677DC256"/>
    <w:rsid w:val="67BDA291"/>
    <w:rsid w:val="67F75F78"/>
    <w:rsid w:val="67FB7D9D"/>
    <w:rsid w:val="680B4C78"/>
    <w:rsid w:val="68423E64"/>
    <w:rsid w:val="685662DD"/>
    <w:rsid w:val="686E5D40"/>
    <w:rsid w:val="68B61586"/>
    <w:rsid w:val="68C493FC"/>
    <w:rsid w:val="69655E25"/>
    <w:rsid w:val="697B7ADE"/>
    <w:rsid w:val="69865D0A"/>
    <w:rsid w:val="698A12E2"/>
    <w:rsid w:val="698D85BC"/>
    <w:rsid w:val="69DB847E"/>
    <w:rsid w:val="69FCCC29"/>
    <w:rsid w:val="6A449D0D"/>
    <w:rsid w:val="6A6D2229"/>
    <w:rsid w:val="6A911615"/>
    <w:rsid w:val="6AABF2DB"/>
    <w:rsid w:val="6ADFDCB7"/>
    <w:rsid w:val="6AE6990A"/>
    <w:rsid w:val="6AE99253"/>
    <w:rsid w:val="6AF1B101"/>
    <w:rsid w:val="6AF7C5D2"/>
    <w:rsid w:val="6B4682CD"/>
    <w:rsid w:val="6B527383"/>
    <w:rsid w:val="6BAE28FE"/>
    <w:rsid w:val="6BBE339C"/>
    <w:rsid w:val="6BD5E1A0"/>
    <w:rsid w:val="6BD60C77"/>
    <w:rsid w:val="6BF10295"/>
    <w:rsid w:val="6C336F73"/>
    <w:rsid w:val="6C397BFA"/>
    <w:rsid w:val="6C432342"/>
    <w:rsid w:val="6C580D80"/>
    <w:rsid w:val="6C8746B2"/>
    <w:rsid w:val="6C9DEC15"/>
    <w:rsid w:val="6CBE9C42"/>
    <w:rsid w:val="6CC0F1B2"/>
    <w:rsid w:val="6CCC7FCD"/>
    <w:rsid w:val="6CCCA19D"/>
    <w:rsid w:val="6CE75F2E"/>
    <w:rsid w:val="6CEC81C1"/>
    <w:rsid w:val="6CF8338E"/>
    <w:rsid w:val="6D400A94"/>
    <w:rsid w:val="6D6FC968"/>
    <w:rsid w:val="6D711545"/>
    <w:rsid w:val="6D773BA5"/>
    <w:rsid w:val="6DE57218"/>
    <w:rsid w:val="6DE8C1C0"/>
    <w:rsid w:val="6E48D0A8"/>
    <w:rsid w:val="6E4D311A"/>
    <w:rsid w:val="6E55D272"/>
    <w:rsid w:val="6E5DD430"/>
    <w:rsid w:val="6E74BF17"/>
    <w:rsid w:val="6E8715FB"/>
    <w:rsid w:val="6E8BC0F2"/>
    <w:rsid w:val="6EB9AA3A"/>
    <w:rsid w:val="6EE0D2A5"/>
    <w:rsid w:val="6EFA7FBD"/>
    <w:rsid w:val="6F06D5A2"/>
    <w:rsid w:val="6F684D88"/>
    <w:rsid w:val="6F68817E"/>
    <w:rsid w:val="6F708FAF"/>
    <w:rsid w:val="6F7BE532"/>
    <w:rsid w:val="6F7E12A8"/>
    <w:rsid w:val="6F7FEC5C"/>
    <w:rsid w:val="6F806728"/>
    <w:rsid w:val="6F9A2A46"/>
    <w:rsid w:val="6FA193F3"/>
    <w:rsid w:val="6FA692FF"/>
    <w:rsid w:val="6FB26111"/>
    <w:rsid w:val="6FE10796"/>
    <w:rsid w:val="6FE4E7B8"/>
    <w:rsid w:val="7033A9A8"/>
    <w:rsid w:val="70447B24"/>
    <w:rsid w:val="704FE5EA"/>
    <w:rsid w:val="7056E446"/>
    <w:rsid w:val="70B10C91"/>
    <w:rsid w:val="70DBC8E7"/>
    <w:rsid w:val="7136356A"/>
    <w:rsid w:val="716BAA14"/>
    <w:rsid w:val="718AD255"/>
    <w:rsid w:val="719BAA2C"/>
    <w:rsid w:val="71A236D2"/>
    <w:rsid w:val="71A6F20B"/>
    <w:rsid w:val="71C81349"/>
    <w:rsid w:val="71D43894"/>
    <w:rsid w:val="7241B932"/>
    <w:rsid w:val="7242D04A"/>
    <w:rsid w:val="7247F7C5"/>
    <w:rsid w:val="7254225E"/>
    <w:rsid w:val="72D1CB1A"/>
    <w:rsid w:val="72D41EF2"/>
    <w:rsid w:val="72E626E0"/>
    <w:rsid w:val="7300E2C5"/>
    <w:rsid w:val="7307CCA8"/>
    <w:rsid w:val="73291268"/>
    <w:rsid w:val="73366675"/>
    <w:rsid w:val="733869A2"/>
    <w:rsid w:val="73468265"/>
    <w:rsid w:val="737C3AB0"/>
    <w:rsid w:val="73D0C412"/>
    <w:rsid w:val="73DF58C5"/>
    <w:rsid w:val="74076DC4"/>
    <w:rsid w:val="742A9A9B"/>
    <w:rsid w:val="7443D491"/>
    <w:rsid w:val="745BB2BA"/>
    <w:rsid w:val="74937E0C"/>
    <w:rsid w:val="74A44A9A"/>
    <w:rsid w:val="74CADC69"/>
    <w:rsid w:val="74D6B3D9"/>
    <w:rsid w:val="74F395E3"/>
    <w:rsid w:val="7513CC65"/>
    <w:rsid w:val="7536F5E6"/>
    <w:rsid w:val="7589AB98"/>
    <w:rsid w:val="75A67104"/>
    <w:rsid w:val="75D9F425"/>
    <w:rsid w:val="75F5475B"/>
    <w:rsid w:val="76082586"/>
    <w:rsid w:val="76541048"/>
    <w:rsid w:val="769195BB"/>
    <w:rsid w:val="76AB1DAE"/>
    <w:rsid w:val="76C82B31"/>
    <w:rsid w:val="773FFFE1"/>
    <w:rsid w:val="77442B5B"/>
    <w:rsid w:val="777576BE"/>
    <w:rsid w:val="7775A82B"/>
    <w:rsid w:val="779E1176"/>
    <w:rsid w:val="77CBA937"/>
    <w:rsid w:val="77EB74C5"/>
    <w:rsid w:val="7816049F"/>
    <w:rsid w:val="782FB2D5"/>
    <w:rsid w:val="78362E7A"/>
    <w:rsid w:val="7842BA86"/>
    <w:rsid w:val="78649C01"/>
    <w:rsid w:val="78918D2E"/>
    <w:rsid w:val="789B9729"/>
    <w:rsid w:val="797F968E"/>
    <w:rsid w:val="79A8106B"/>
    <w:rsid w:val="79B5462A"/>
    <w:rsid w:val="79D7CCEE"/>
    <w:rsid w:val="7A110ECA"/>
    <w:rsid w:val="7A366F55"/>
    <w:rsid w:val="7A63BABE"/>
    <w:rsid w:val="7A7F90D8"/>
    <w:rsid w:val="7A9F1068"/>
    <w:rsid w:val="7AB09E95"/>
    <w:rsid w:val="7AD48DC3"/>
    <w:rsid w:val="7B02A8BD"/>
    <w:rsid w:val="7B1ABC82"/>
    <w:rsid w:val="7B21852C"/>
    <w:rsid w:val="7B4D2228"/>
    <w:rsid w:val="7B5C3FC5"/>
    <w:rsid w:val="7B5E63CB"/>
    <w:rsid w:val="7B689DA7"/>
    <w:rsid w:val="7BB01049"/>
    <w:rsid w:val="7BC6CC45"/>
    <w:rsid w:val="7BDDE4F6"/>
    <w:rsid w:val="7BF506CC"/>
    <w:rsid w:val="7BFB7925"/>
    <w:rsid w:val="7C0ECEBD"/>
    <w:rsid w:val="7C29478F"/>
    <w:rsid w:val="7C2C4596"/>
    <w:rsid w:val="7C3DFB7D"/>
    <w:rsid w:val="7C449365"/>
    <w:rsid w:val="7CA66385"/>
    <w:rsid w:val="7CB6475B"/>
    <w:rsid w:val="7CBEF1D1"/>
    <w:rsid w:val="7CC0AB7D"/>
    <w:rsid w:val="7CF58FE3"/>
    <w:rsid w:val="7D42E816"/>
    <w:rsid w:val="7D63EE94"/>
    <w:rsid w:val="7D89B48F"/>
    <w:rsid w:val="7E03D355"/>
    <w:rsid w:val="7E0751D5"/>
    <w:rsid w:val="7E14542F"/>
    <w:rsid w:val="7E7A05B6"/>
    <w:rsid w:val="7E7F3844"/>
    <w:rsid w:val="7E8C7469"/>
    <w:rsid w:val="7E927F5B"/>
    <w:rsid w:val="7E992D33"/>
    <w:rsid w:val="7E9AE1C8"/>
    <w:rsid w:val="7EC0E498"/>
    <w:rsid w:val="7EE6EE13"/>
    <w:rsid w:val="7F36F837"/>
    <w:rsid w:val="7F51D72E"/>
    <w:rsid w:val="7F57D8F3"/>
    <w:rsid w:val="7FCA0A52"/>
    <w:rsid w:val="7FD390C8"/>
    <w:rsid w:val="7FE1F406"/>
    <w:rsid w:val="7FEB895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A07CBE"/>
  <w15:docId w15:val="{4853BC25-C818-4A24-B36F-B089A970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18"/>
    <w:pPr>
      <w:jc w:val="both"/>
    </w:pPr>
  </w:style>
  <w:style w:type="paragraph" w:styleId="Ttulo1">
    <w:name w:val="heading 1"/>
    <w:basedOn w:val="Normal"/>
    <w:next w:val="Normal"/>
    <w:link w:val="Ttulo1Car"/>
    <w:uiPriority w:val="9"/>
    <w:qFormat/>
    <w:rsid w:val="001B4265"/>
    <w:pPr>
      <w:keepNext/>
      <w:keepLines/>
      <w:numPr>
        <w:numId w:val="6"/>
      </w:numPr>
      <w:spacing w:before="240" w:after="0"/>
      <w:outlineLvl w:val="0"/>
    </w:pPr>
    <w:rPr>
      <w:rFonts w:ascii="Times New Roman" w:eastAsiaTheme="majorEastAsia" w:hAnsi="Times New Roman" w:cstheme="majorBidi"/>
      <w:b/>
      <w:color w:val="FF0000"/>
      <w:sz w:val="32"/>
      <w:szCs w:val="32"/>
    </w:rPr>
  </w:style>
  <w:style w:type="paragraph" w:styleId="Ttulo2">
    <w:name w:val="heading 2"/>
    <w:basedOn w:val="Normal"/>
    <w:next w:val="Normal"/>
    <w:link w:val="Ttulo2Car"/>
    <w:uiPriority w:val="9"/>
    <w:unhideWhenUsed/>
    <w:qFormat/>
    <w:rsid w:val="009B0209"/>
    <w:pPr>
      <w:keepNext/>
      <w:keepLines/>
      <w:numPr>
        <w:ilvl w:val="1"/>
        <w:numId w:val="6"/>
      </w:numPr>
      <w:spacing w:before="40" w:after="0"/>
      <w:outlineLvl w:val="1"/>
    </w:pPr>
    <w:rPr>
      <w:rFonts w:asciiTheme="majorHAnsi" w:eastAsiaTheme="majorEastAsia" w:hAnsiTheme="majorHAnsi" w:cstheme="majorBidi"/>
      <w:color w:val="FF0000"/>
      <w:sz w:val="26"/>
      <w:szCs w:val="26"/>
    </w:rPr>
  </w:style>
  <w:style w:type="paragraph" w:styleId="Ttulo3">
    <w:name w:val="heading 3"/>
    <w:basedOn w:val="Normal"/>
    <w:next w:val="Normal"/>
    <w:link w:val="Ttulo3Car"/>
    <w:uiPriority w:val="9"/>
    <w:semiHidden/>
    <w:unhideWhenUsed/>
    <w:qFormat/>
    <w:rsid w:val="00C7688B"/>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7688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7688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7688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7688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7688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7688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9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49B4"/>
  </w:style>
  <w:style w:type="paragraph" w:styleId="Piedepgina">
    <w:name w:val="footer"/>
    <w:basedOn w:val="Normal"/>
    <w:link w:val="PiedepginaCar"/>
    <w:uiPriority w:val="99"/>
    <w:unhideWhenUsed/>
    <w:rsid w:val="009449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49B4"/>
  </w:style>
  <w:style w:type="character" w:customStyle="1" w:styleId="Ttulo1Car">
    <w:name w:val="Título 1 Car"/>
    <w:basedOn w:val="Fuentedeprrafopredeter"/>
    <w:link w:val="Ttulo1"/>
    <w:uiPriority w:val="9"/>
    <w:rsid w:val="001B4265"/>
    <w:rPr>
      <w:rFonts w:ascii="Times New Roman" w:eastAsiaTheme="majorEastAsia" w:hAnsi="Times New Roman" w:cstheme="majorBidi"/>
      <w:b/>
      <w:color w:val="FF0000"/>
      <w:sz w:val="32"/>
      <w:szCs w:val="32"/>
    </w:rPr>
  </w:style>
  <w:style w:type="character" w:styleId="Nmerodepgina">
    <w:name w:val="page number"/>
    <w:basedOn w:val="Fuentedeprrafopredeter"/>
    <w:uiPriority w:val="99"/>
    <w:unhideWhenUsed/>
    <w:rsid w:val="008F17DD"/>
  </w:style>
  <w:style w:type="paragraph" w:styleId="Prrafodelista">
    <w:name w:val="List Paragraph"/>
    <w:basedOn w:val="Normal"/>
    <w:uiPriority w:val="34"/>
    <w:qFormat/>
    <w:rsid w:val="008F17DD"/>
    <w:pPr>
      <w:ind w:left="720"/>
      <w:contextualSpacing/>
    </w:pPr>
  </w:style>
  <w:style w:type="paragraph" w:styleId="Textodeglobo">
    <w:name w:val="Balloon Text"/>
    <w:basedOn w:val="Normal"/>
    <w:link w:val="TextodegloboCar"/>
    <w:uiPriority w:val="99"/>
    <w:semiHidden/>
    <w:unhideWhenUsed/>
    <w:rsid w:val="002F6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8C2"/>
    <w:rPr>
      <w:rFonts w:ascii="Segoe UI" w:hAnsi="Segoe UI" w:cs="Segoe UI"/>
      <w:sz w:val="18"/>
      <w:szCs w:val="18"/>
    </w:rPr>
  </w:style>
  <w:style w:type="character" w:styleId="Ttulodellibro">
    <w:name w:val="Book Title"/>
    <w:basedOn w:val="Fuentedeprrafopredeter"/>
    <w:uiPriority w:val="33"/>
    <w:qFormat/>
    <w:rsid w:val="00F620A0"/>
    <w:rPr>
      <w:b/>
      <w:bCs/>
      <w:i/>
      <w:iCs/>
      <w:spacing w:val="5"/>
    </w:rPr>
  </w:style>
  <w:style w:type="character" w:customStyle="1" w:styleId="Ttulo2Car">
    <w:name w:val="Título 2 Car"/>
    <w:basedOn w:val="Fuentedeprrafopredeter"/>
    <w:link w:val="Ttulo2"/>
    <w:uiPriority w:val="9"/>
    <w:rsid w:val="009B0209"/>
    <w:rPr>
      <w:rFonts w:asciiTheme="majorHAnsi" w:eastAsiaTheme="majorEastAsia" w:hAnsiTheme="majorHAnsi" w:cstheme="majorBidi"/>
      <w:color w:val="FF0000"/>
      <w:sz w:val="26"/>
      <w:szCs w:val="26"/>
    </w:rPr>
  </w:style>
  <w:style w:type="character" w:customStyle="1" w:styleId="Ttulo3Car">
    <w:name w:val="Título 3 Car"/>
    <w:basedOn w:val="Fuentedeprrafopredeter"/>
    <w:link w:val="Ttulo3"/>
    <w:uiPriority w:val="9"/>
    <w:semiHidden/>
    <w:rsid w:val="00C7688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C7688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C7688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7688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7688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768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7688B"/>
    <w:rPr>
      <w:rFonts w:asciiTheme="majorHAnsi" w:eastAsiaTheme="majorEastAsia" w:hAnsiTheme="majorHAnsi" w:cstheme="majorBidi"/>
      <w:i/>
      <w:iCs/>
      <w:color w:val="272727" w:themeColor="text1" w:themeTint="D8"/>
      <w:sz w:val="21"/>
      <w:szCs w:val="21"/>
    </w:rPr>
  </w:style>
  <w:style w:type="character" w:styleId="nfasissutil">
    <w:name w:val="Subtle Emphasis"/>
    <w:basedOn w:val="Fuentedeprrafopredeter"/>
    <w:uiPriority w:val="19"/>
    <w:qFormat/>
    <w:rsid w:val="006D3D32"/>
    <w:rPr>
      <w:i/>
      <w:iCs/>
      <w:color w:val="404040" w:themeColor="text1" w:themeTint="BF"/>
    </w:rPr>
  </w:style>
  <w:style w:type="paragraph" w:styleId="TtuloTDC">
    <w:name w:val="TOC Heading"/>
    <w:basedOn w:val="Ttulo1"/>
    <w:next w:val="Normal"/>
    <w:uiPriority w:val="39"/>
    <w:unhideWhenUsed/>
    <w:qFormat/>
    <w:rsid w:val="001B4265"/>
    <w:pPr>
      <w:numPr>
        <w:numId w:val="0"/>
      </w:numPr>
      <w:jc w:val="left"/>
      <w:outlineLvl w:val="9"/>
    </w:pPr>
    <w:rPr>
      <w:rFonts w:asciiTheme="majorHAnsi" w:hAnsiTheme="majorHAnsi"/>
      <w:b w:val="0"/>
      <w:color w:val="2E74B5" w:themeColor="accent1" w:themeShade="BF"/>
      <w:lang w:eastAsia="es-CL"/>
    </w:rPr>
  </w:style>
  <w:style w:type="paragraph" w:styleId="TDC1">
    <w:name w:val="toc 1"/>
    <w:basedOn w:val="Normal"/>
    <w:next w:val="Normal"/>
    <w:autoRedefine/>
    <w:uiPriority w:val="39"/>
    <w:unhideWhenUsed/>
    <w:rsid w:val="001B4265"/>
    <w:pPr>
      <w:spacing w:after="100"/>
    </w:pPr>
  </w:style>
  <w:style w:type="paragraph" w:styleId="TDC2">
    <w:name w:val="toc 2"/>
    <w:basedOn w:val="Normal"/>
    <w:next w:val="Normal"/>
    <w:autoRedefine/>
    <w:uiPriority w:val="39"/>
    <w:unhideWhenUsed/>
    <w:rsid w:val="001B4265"/>
    <w:pPr>
      <w:spacing w:after="100"/>
      <w:ind w:left="220"/>
    </w:pPr>
  </w:style>
  <w:style w:type="character" w:styleId="Hipervnculo">
    <w:name w:val="Hyperlink"/>
    <w:basedOn w:val="Fuentedeprrafopredeter"/>
    <w:uiPriority w:val="99"/>
    <w:unhideWhenUsed/>
    <w:rsid w:val="001B4265"/>
    <w:rPr>
      <w:color w:val="0563C1" w:themeColor="hyperlink"/>
      <w:u w:val="single"/>
    </w:rPr>
  </w:style>
  <w:style w:type="paragraph" w:styleId="Ttulo">
    <w:name w:val="Title"/>
    <w:basedOn w:val="Normal"/>
    <w:next w:val="Normal"/>
    <w:link w:val="TtuloCar"/>
    <w:uiPriority w:val="10"/>
    <w:qFormat/>
    <w:rsid w:val="007A61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156"/>
    <w:rPr>
      <w:rFonts w:asciiTheme="majorHAnsi" w:eastAsiaTheme="majorEastAsia" w:hAnsiTheme="majorHAnsi" w:cstheme="majorBidi"/>
      <w:spacing w:val="-10"/>
      <w:kern w:val="28"/>
      <w:sz w:val="56"/>
      <w:szCs w:val="56"/>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uiPriority w:val="99"/>
    <w:semiHidden/>
    <w:unhideWhenUsed/>
    <w:rsid w:val="5176D4DE"/>
    <w:pPr>
      <w:spacing w:after="0" w:line="240" w:lineRule="auto"/>
    </w:pPr>
    <w:rPr>
      <w:sz w:val="20"/>
      <w:szCs w:val="20"/>
    </w:rPr>
  </w:style>
  <w:style w:type="character" w:styleId="Refdenotaalpie">
    <w:name w:val="footnote reference"/>
    <w:basedOn w:val="Fuentedeprrafopredeter"/>
    <w:uiPriority w:val="99"/>
    <w:semiHidden/>
    <w:unhideWhenUsed/>
    <w:rsid w:val="00F72437"/>
    <w:rPr>
      <w:vertAlign w:val="superscript"/>
    </w:rPr>
  </w:style>
  <w:style w:type="paragraph" w:styleId="Revisin">
    <w:name w:val="Revision"/>
    <w:hidden/>
    <w:uiPriority w:val="99"/>
    <w:semiHidden/>
    <w:rsid w:val="005E7EE3"/>
    <w:pPr>
      <w:spacing w:after="0" w:line="240" w:lineRule="auto"/>
    </w:pPr>
  </w:style>
  <w:style w:type="character" w:styleId="Refdecomentario">
    <w:name w:val="annotation reference"/>
    <w:basedOn w:val="Fuentedeprrafopredeter"/>
    <w:uiPriority w:val="99"/>
    <w:semiHidden/>
    <w:unhideWhenUsed/>
    <w:rsid w:val="00F4090A"/>
    <w:rPr>
      <w:sz w:val="16"/>
      <w:szCs w:val="16"/>
    </w:rPr>
  </w:style>
  <w:style w:type="paragraph" w:styleId="Textocomentario">
    <w:name w:val="annotation text"/>
    <w:basedOn w:val="Normal"/>
    <w:link w:val="TextocomentarioCar"/>
    <w:uiPriority w:val="99"/>
    <w:unhideWhenUsed/>
    <w:rsid w:val="00F4090A"/>
    <w:pPr>
      <w:spacing w:line="240" w:lineRule="auto"/>
    </w:pPr>
    <w:rPr>
      <w:sz w:val="20"/>
      <w:szCs w:val="20"/>
    </w:rPr>
  </w:style>
  <w:style w:type="character" w:customStyle="1" w:styleId="TextocomentarioCar">
    <w:name w:val="Texto comentario Car"/>
    <w:basedOn w:val="Fuentedeprrafopredeter"/>
    <w:link w:val="Textocomentario"/>
    <w:uiPriority w:val="99"/>
    <w:rsid w:val="00F4090A"/>
    <w:rPr>
      <w:sz w:val="20"/>
      <w:szCs w:val="20"/>
    </w:rPr>
  </w:style>
  <w:style w:type="paragraph" w:styleId="Asuntodelcomentario">
    <w:name w:val="annotation subject"/>
    <w:basedOn w:val="Textocomentario"/>
    <w:next w:val="Textocomentario"/>
    <w:link w:val="AsuntodelcomentarioCar"/>
    <w:uiPriority w:val="99"/>
    <w:semiHidden/>
    <w:unhideWhenUsed/>
    <w:rsid w:val="00F4090A"/>
    <w:rPr>
      <w:b/>
      <w:bCs/>
    </w:rPr>
  </w:style>
  <w:style w:type="character" w:customStyle="1" w:styleId="AsuntodelcomentarioCar">
    <w:name w:val="Asunto del comentario Car"/>
    <w:basedOn w:val="TextocomentarioCar"/>
    <w:link w:val="Asuntodelcomentario"/>
    <w:uiPriority w:val="99"/>
    <w:semiHidden/>
    <w:rsid w:val="00F40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8007">
      <w:bodyDiv w:val="1"/>
      <w:marLeft w:val="0"/>
      <w:marRight w:val="0"/>
      <w:marTop w:val="0"/>
      <w:marBottom w:val="0"/>
      <w:divBdr>
        <w:top w:val="none" w:sz="0" w:space="0" w:color="auto"/>
        <w:left w:val="none" w:sz="0" w:space="0" w:color="auto"/>
        <w:bottom w:val="none" w:sz="0" w:space="0" w:color="auto"/>
        <w:right w:val="none" w:sz="0" w:space="0" w:color="auto"/>
      </w:divBdr>
    </w:div>
    <w:div w:id="345981598">
      <w:bodyDiv w:val="1"/>
      <w:marLeft w:val="0"/>
      <w:marRight w:val="0"/>
      <w:marTop w:val="0"/>
      <w:marBottom w:val="0"/>
      <w:divBdr>
        <w:top w:val="none" w:sz="0" w:space="0" w:color="auto"/>
        <w:left w:val="none" w:sz="0" w:space="0" w:color="auto"/>
        <w:bottom w:val="none" w:sz="0" w:space="0" w:color="auto"/>
        <w:right w:val="none" w:sz="0" w:space="0" w:color="auto"/>
      </w:divBdr>
    </w:div>
    <w:div w:id="591739879">
      <w:bodyDiv w:val="1"/>
      <w:marLeft w:val="0"/>
      <w:marRight w:val="0"/>
      <w:marTop w:val="0"/>
      <w:marBottom w:val="0"/>
      <w:divBdr>
        <w:top w:val="none" w:sz="0" w:space="0" w:color="auto"/>
        <w:left w:val="none" w:sz="0" w:space="0" w:color="auto"/>
        <w:bottom w:val="none" w:sz="0" w:space="0" w:color="auto"/>
        <w:right w:val="none" w:sz="0" w:space="0" w:color="auto"/>
      </w:divBdr>
    </w:div>
    <w:div w:id="732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tias.borquez\Desktop\MOP%20-%20PIBV\16.%20Cierre%20gobierno%20PIBV\2025.11.26%20Ejecuci&#243;n%20presupuesta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Hoja1!$D$2</c:f>
              <c:strCache>
                <c:ptCount val="1"/>
                <c:pt idx="0">
                  <c:v>Ejecución</c:v>
                </c:pt>
              </c:strCache>
            </c:strRef>
          </c:tx>
          <c:spPr>
            <a:solidFill>
              <a:schemeClr val="accent1"/>
            </a:solidFill>
            <a:ln>
              <a:noFill/>
            </a:ln>
            <a:effectLst/>
          </c:spPr>
          <c:invertIfNegative val="0"/>
          <c:cat>
            <c:numRef>
              <c:f>Hoja1!$C$3:$C$6</c:f>
              <c:numCache>
                <c:formatCode>General</c:formatCode>
                <c:ptCount val="4"/>
                <c:pt idx="0">
                  <c:v>2023</c:v>
                </c:pt>
                <c:pt idx="1">
                  <c:v>2024</c:v>
                </c:pt>
                <c:pt idx="2">
                  <c:v>2025</c:v>
                </c:pt>
                <c:pt idx="3">
                  <c:v>2026</c:v>
                </c:pt>
              </c:numCache>
            </c:numRef>
          </c:cat>
          <c:val>
            <c:numRef>
              <c:f>Hoja1!$D$3:$D$6</c:f>
              <c:numCache>
                <c:formatCode>_(* #,##0_);_(* \(#,##0\);_(* "-"_);_(@_)</c:formatCode>
                <c:ptCount val="4"/>
                <c:pt idx="0">
                  <c:v>297529808</c:v>
                </c:pt>
                <c:pt idx="1">
                  <c:v>393342485</c:v>
                </c:pt>
                <c:pt idx="2">
                  <c:v>390637660</c:v>
                </c:pt>
              </c:numCache>
            </c:numRef>
          </c:val>
          <c:extLst>
            <c:ext xmlns:c16="http://schemas.microsoft.com/office/drawing/2014/chart" uri="{C3380CC4-5D6E-409C-BE32-E72D297353CC}">
              <c16:uniqueId val="{00000000-60D6-4D81-9EB0-DE6DD9653882}"/>
            </c:ext>
          </c:extLst>
        </c:ser>
        <c:ser>
          <c:idx val="2"/>
          <c:order val="1"/>
          <c:tx>
            <c:strRef>
              <c:f>Hoja1!$E$2</c:f>
              <c:strCache>
                <c:ptCount val="1"/>
                <c:pt idx="0">
                  <c:v>Proyección 2026</c:v>
                </c:pt>
              </c:strCache>
            </c:strRef>
          </c:tx>
          <c:spPr>
            <a:solidFill>
              <a:schemeClr val="accent3"/>
            </a:solidFill>
            <a:ln>
              <a:noFill/>
            </a:ln>
            <a:effectLst/>
          </c:spPr>
          <c:invertIfNegative val="0"/>
          <c:val>
            <c:numRef>
              <c:f>Hoja1!$E$3:$E$6</c:f>
              <c:numCache>
                <c:formatCode>General</c:formatCode>
                <c:ptCount val="4"/>
                <c:pt idx="3" formatCode="_(* #,##0_);_(* \(#,##0\);_(* &quot;-&quot;_);_(@_)">
                  <c:v>309709331</c:v>
                </c:pt>
              </c:numCache>
            </c:numRef>
          </c:val>
          <c:extLst>
            <c:ext xmlns:c16="http://schemas.microsoft.com/office/drawing/2014/chart" uri="{C3380CC4-5D6E-409C-BE32-E72D297353CC}">
              <c16:uniqueId val="{00000001-60D6-4D81-9EB0-DE6DD9653882}"/>
            </c:ext>
          </c:extLst>
        </c:ser>
        <c:dLbls>
          <c:showLegendKey val="0"/>
          <c:showVal val="0"/>
          <c:showCatName val="0"/>
          <c:showSerName val="0"/>
          <c:showPercent val="0"/>
          <c:showBubbleSize val="0"/>
        </c:dLbls>
        <c:gapWidth val="150"/>
        <c:overlap val="100"/>
        <c:axId val="-1597745776"/>
        <c:axId val="-1597752848"/>
      </c:barChart>
      <c:catAx>
        <c:axId val="-159774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97752848"/>
        <c:crosses val="autoZero"/>
        <c:auto val="1"/>
        <c:lblAlgn val="ctr"/>
        <c:lblOffset val="100"/>
        <c:noMultiLvlLbl val="0"/>
      </c:catAx>
      <c:valAx>
        <c:axId val="-159775284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9774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2.4309516709689227E-2"/>
          <c:y val="0.11395377643695535"/>
          <c:w val="0.96384909245677619"/>
          <c:h val="0.69407628154679857"/>
        </c:manualLayout>
      </c:layout>
      <c:barChart>
        <c:barDir val="col"/>
        <c:grouping val="clustered"/>
        <c:varyColors val="0"/>
        <c:ser>
          <c:idx val="1"/>
          <c:order val="0"/>
          <c:tx>
            <c:strRef>
              <c:f>Hoja1!$B$1</c:f>
              <c:strCache>
                <c:ptCount val="1"/>
                <c:pt idx="0">
                  <c:v>2022</c:v>
                </c:pt>
              </c:strCache>
            </c:strRef>
          </c:tx>
          <c:spPr>
            <a:solidFill>
              <a:schemeClr val="accent5">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Yu Gothic UI" panose="020B0500000000000000" pitchFamily="34" charset="-128"/>
                    <a:ea typeface="Yu Gothic UI" panose="020B0500000000000000" pitchFamily="34" charset="-128"/>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Biobío</c:v>
                </c:pt>
                <c:pt idx="1">
                  <c:v>La Arucanía</c:v>
                </c:pt>
                <c:pt idx="2">
                  <c:v>Los Ríos</c:v>
                </c:pt>
                <c:pt idx="3">
                  <c:v>Los Lagos</c:v>
                </c:pt>
              </c:strCache>
            </c:strRef>
          </c:cat>
          <c:val>
            <c:numRef>
              <c:f>Hoja1!$B$2:$B$5</c:f>
              <c:numCache>
                <c:formatCode>0%</c:formatCode>
                <c:ptCount val="4"/>
                <c:pt idx="0">
                  <c:v>0.74</c:v>
                </c:pt>
                <c:pt idx="1">
                  <c:v>0.71</c:v>
                </c:pt>
                <c:pt idx="2">
                  <c:v>0.81</c:v>
                </c:pt>
                <c:pt idx="3">
                  <c:v>0.75</c:v>
                </c:pt>
              </c:numCache>
            </c:numRef>
          </c:val>
          <c:extLst>
            <c:ext xmlns:c16="http://schemas.microsoft.com/office/drawing/2014/chart" uri="{C3380CC4-5D6E-409C-BE32-E72D297353CC}">
              <c16:uniqueId val="{00000000-E990-4BB2-9704-364ECA0A4A7C}"/>
            </c:ext>
          </c:extLst>
        </c:ser>
        <c:ser>
          <c:idx val="0"/>
          <c:order val="1"/>
          <c:tx>
            <c:strRef>
              <c:f>Hoja1!$C$1</c:f>
              <c:strCache>
                <c:ptCount val="1"/>
                <c:pt idx="0">
                  <c:v>2023</c:v>
                </c:pt>
              </c:strCache>
            </c:strRef>
          </c:tx>
          <c:spPr>
            <a:solidFill>
              <a:schemeClr val="accent5">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Yu Gothic UI" panose="020B0500000000000000" pitchFamily="34" charset="-128"/>
                    <a:ea typeface="Yu Gothic UI" panose="020B0500000000000000" pitchFamily="34" charset="-128"/>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Biobío</c:v>
                </c:pt>
                <c:pt idx="1">
                  <c:v>La Arucanía</c:v>
                </c:pt>
                <c:pt idx="2">
                  <c:v>Los Ríos</c:v>
                </c:pt>
                <c:pt idx="3">
                  <c:v>Los Lagos</c:v>
                </c:pt>
              </c:strCache>
            </c:strRef>
          </c:cat>
          <c:val>
            <c:numRef>
              <c:f>Hoja1!$C$2:$C$5</c:f>
              <c:numCache>
                <c:formatCode>0%</c:formatCode>
                <c:ptCount val="4"/>
                <c:pt idx="0">
                  <c:v>0.74</c:v>
                </c:pt>
                <c:pt idx="1">
                  <c:v>0.89</c:v>
                </c:pt>
                <c:pt idx="2">
                  <c:v>0.83</c:v>
                </c:pt>
                <c:pt idx="3">
                  <c:v>0.83</c:v>
                </c:pt>
              </c:numCache>
            </c:numRef>
          </c:val>
          <c:extLst>
            <c:ext xmlns:c16="http://schemas.microsoft.com/office/drawing/2014/chart" uri="{C3380CC4-5D6E-409C-BE32-E72D297353CC}">
              <c16:uniqueId val="{00000001-E990-4BB2-9704-364ECA0A4A7C}"/>
            </c:ext>
          </c:extLst>
        </c:ser>
        <c:ser>
          <c:idx val="2"/>
          <c:order val="2"/>
          <c:tx>
            <c:strRef>
              <c:f>Hoja1!$D$1</c:f>
              <c:strCache>
                <c:ptCount val="1"/>
                <c:pt idx="0">
                  <c:v>2024</c:v>
                </c:pt>
              </c:strCache>
            </c:strRef>
          </c:tx>
          <c:spPr>
            <a:solidFill>
              <a:schemeClr val="accent5">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Yu Gothic UI" panose="020B0500000000000000" pitchFamily="34" charset="-128"/>
                    <a:ea typeface="Yu Gothic UI" panose="020B0500000000000000" pitchFamily="34" charset="-128"/>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Biobío</c:v>
                </c:pt>
                <c:pt idx="1">
                  <c:v>La Arucanía</c:v>
                </c:pt>
                <c:pt idx="2">
                  <c:v>Los Ríos</c:v>
                </c:pt>
                <c:pt idx="3">
                  <c:v>Los Lagos</c:v>
                </c:pt>
              </c:strCache>
            </c:strRef>
          </c:cat>
          <c:val>
            <c:numRef>
              <c:f>Hoja1!$D$2:$D$5</c:f>
              <c:numCache>
                <c:formatCode>0%</c:formatCode>
                <c:ptCount val="4"/>
                <c:pt idx="0">
                  <c:v>0.79</c:v>
                </c:pt>
                <c:pt idx="1">
                  <c:v>0.88</c:v>
                </c:pt>
                <c:pt idx="2">
                  <c:v>0.86</c:v>
                </c:pt>
                <c:pt idx="3">
                  <c:v>0.81</c:v>
                </c:pt>
              </c:numCache>
            </c:numRef>
          </c:val>
          <c:extLst>
            <c:ext xmlns:c16="http://schemas.microsoft.com/office/drawing/2014/chart" uri="{C3380CC4-5D6E-409C-BE32-E72D297353CC}">
              <c16:uniqueId val="{00000002-E990-4BB2-9704-364ECA0A4A7C}"/>
            </c:ext>
          </c:extLst>
        </c:ser>
        <c:ser>
          <c:idx val="3"/>
          <c:order val="3"/>
          <c:tx>
            <c:strRef>
              <c:f>Hoja1!$E$1</c:f>
              <c:strCache>
                <c:ptCount val="1"/>
                <c:pt idx="0">
                  <c:v>2025</c:v>
                </c:pt>
              </c:strCache>
            </c:strRef>
          </c:tx>
          <c:spPr>
            <a:solidFill>
              <a:schemeClr val="accent5">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Yu Gothic UI" panose="020B0500000000000000" pitchFamily="34" charset="-128"/>
                    <a:ea typeface="Yu Gothic UI" panose="020B0500000000000000" pitchFamily="34" charset="-128"/>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Biobío</c:v>
                </c:pt>
                <c:pt idx="1">
                  <c:v>La Arucanía</c:v>
                </c:pt>
                <c:pt idx="2">
                  <c:v>Los Ríos</c:v>
                </c:pt>
                <c:pt idx="3">
                  <c:v>Los Lagos</c:v>
                </c:pt>
              </c:strCache>
            </c:strRef>
          </c:cat>
          <c:val>
            <c:numRef>
              <c:f>Hoja1!$E$2:$E$5</c:f>
              <c:numCache>
                <c:formatCode>0%</c:formatCode>
                <c:ptCount val="4"/>
                <c:pt idx="0">
                  <c:v>0.91</c:v>
                </c:pt>
                <c:pt idx="1">
                  <c:v>0.89</c:v>
                </c:pt>
                <c:pt idx="2">
                  <c:v>0.96</c:v>
                </c:pt>
                <c:pt idx="3">
                  <c:v>0.87</c:v>
                </c:pt>
              </c:numCache>
            </c:numRef>
          </c:val>
          <c:extLst>
            <c:ext xmlns:c16="http://schemas.microsoft.com/office/drawing/2014/chart" uri="{C3380CC4-5D6E-409C-BE32-E72D297353CC}">
              <c16:uniqueId val="{00000003-E990-4BB2-9704-364ECA0A4A7C}"/>
            </c:ext>
          </c:extLst>
        </c:ser>
        <c:dLbls>
          <c:dLblPos val="outEnd"/>
          <c:showLegendKey val="0"/>
          <c:showVal val="1"/>
          <c:showCatName val="0"/>
          <c:showSerName val="0"/>
          <c:showPercent val="0"/>
          <c:showBubbleSize val="0"/>
        </c:dLbls>
        <c:gapWidth val="90"/>
        <c:axId val="-1597755568"/>
        <c:axId val="-1597769712"/>
      </c:barChart>
      <c:catAx>
        <c:axId val="-159775556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Yu Gothic UI" panose="020B0500000000000000" pitchFamily="34" charset="-128"/>
                <a:ea typeface="Yu Gothic UI" panose="020B0500000000000000" pitchFamily="34" charset="-128"/>
                <a:cs typeface="+mn-cs"/>
              </a:defRPr>
            </a:pPr>
            <a:endParaRPr lang="es-CL"/>
          </a:p>
        </c:txPr>
        <c:crossAx val="-1597769712"/>
        <c:crosses val="autoZero"/>
        <c:auto val="1"/>
        <c:lblAlgn val="ctr"/>
        <c:lblOffset val="100"/>
        <c:noMultiLvlLbl val="0"/>
      </c:catAx>
      <c:valAx>
        <c:axId val="-1597769712"/>
        <c:scaling>
          <c:orientation val="minMax"/>
        </c:scaling>
        <c:delete val="1"/>
        <c:axPos val="l"/>
        <c:numFmt formatCode="0%" sourceLinked="1"/>
        <c:majorTickMark val="out"/>
        <c:minorTickMark val="none"/>
        <c:tickLblPos val="nextTo"/>
        <c:crossAx val="-1597755568"/>
        <c:crosses val="autoZero"/>
        <c:crossBetween val="between"/>
      </c:valAx>
      <c:spPr>
        <a:noFill/>
        <a:ln>
          <a:noFill/>
        </a:ln>
        <a:effectLst/>
      </c:spPr>
    </c:plotArea>
    <c:legend>
      <c:legendPos val="r"/>
      <c:layout>
        <c:manualLayout>
          <c:xMode val="edge"/>
          <c:yMode val="edge"/>
          <c:x val="0"/>
          <c:y val="0.95093051947945528"/>
          <c:w val="0.40157843146112948"/>
          <c:h val="4.9069454917222276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Yu Gothic UI" panose="020B0500000000000000" pitchFamily="34" charset="-128"/>
              <a:ea typeface="Yu Gothic UI" panose="020B0500000000000000" pitchFamily="34" charset="-128"/>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Yu Gothic UI" panose="020B0500000000000000" pitchFamily="34" charset="-128"/>
          <a:ea typeface="Yu Gothic UI" panose="020B0500000000000000" pitchFamily="34" charset="-128"/>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F669F6B3-016B-4B57-B24F-AE9E2D57E4F3}">
    <t:Anchor>
      <t:Comment id="1667887925"/>
    </t:Anchor>
    <t:History>
      <t:Event id="{17C6854A-6428-4E33-A424-C88056720526}" time="2025-11-18T21:52:43.415Z">
        <t:Attribution userId="S::matias.borquez@moptt.gov.cl::d9ab9453-46e8-4f33-9698-badd8b7ce567" userProvider="AD" userName="Matias Borquez Herrera (DGOP)"/>
        <t:Anchor>
          <t:Comment id="1667887925"/>
        </t:Anchor>
        <t:Create/>
      </t:Event>
      <t:Event id="{AFA1EBBE-33D1-4346-8956-36C7238EC683}" time="2025-11-18T21:52:43.415Z">
        <t:Attribution userId="S::matias.borquez@moptt.gov.cl::d9ab9453-46e8-4f33-9698-badd8b7ce567" userProvider="AD" userName="Matias Borquez Herrera (DGOP)"/>
        <t:Anchor>
          <t:Comment id="1667887925"/>
        </t:Anchor>
        <t:Assign userId="S::leonardo.mena@moptt.gov.cl::52831f1e-75fd-4eb8-be58-3e151bb9aa0a" userProvider="AD" userName="Leonardo Mena Coronel (DGOP)"/>
      </t:Event>
      <t:Event id="{73E1B9BA-B4F7-4BC9-9746-61DD3706DE6C}" time="2025-11-18T21:52:43.415Z">
        <t:Attribution userId="S::matias.borquez@moptt.gov.cl::d9ab9453-46e8-4f33-9698-badd8b7ce567" userProvider="AD" userName="Matias Borquez Herrera (DGOP)"/>
        <t:Anchor>
          <t:Comment id="1667887925"/>
        </t:Anchor>
        <t:SetTitle title="@Leonardo Mena Coronel (DGOP) No sé bien como defender o encontrar la cifra de maquinarias y lo que resta del párrafo. ¿Me ayudas please?"/>
      </t:Event>
      <t:Event id="{ACBD2946-320D-46F3-A92B-906E81918F7E}" time="2025-11-19T13:20:15.517Z">
        <t:Attribution userId="S::leonardo.mena@moptt.gov.cl::52831f1e-75fd-4eb8-be58-3e151bb9aa0a" userProvider="AD" userName="Leonardo Mena Coronel (DGOP)"/>
        <t:Anchor>
          <t:Comment id="856271717"/>
        </t:Anchor>
        <t:UnassignAll/>
      </t:Event>
      <t:Event id="{9F2C78CE-31AB-4DCC-953C-7A3F61B2500A}" time="2025-11-19T13:20:15.517Z">
        <t:Attribution userId="S::leonardo.mena@moptt.gov.cl::52831f1e-75fd-4eb8-be58-3e151bb9aa0a" userProvider="AD" userName="Leonardo Mena Coronel (DGOP)"/>
        <t:Anchor>
          <t:Comment id="856271717"/>
        </t:Anchor>
        <t:Assign userId="S::matias.borquez@moptt.gov.cl::d9ab9453-46e8-4f33-9698-badd8b7ce567" userProvider="AD" userName="Matias Borquez Herrera (DGOP)"/>
      </t:Event>
    </t:History>
  </t:Task>
  <t:Task id="{4321B1D6-6C19-4646-90F3-B8400AC1E9DF}">
    <t:Anchor>
      <t:Comment id="2056061805"/>
    </t:Anchor>
    <t:History>
      <t:Event id="{B02CCED0-BD9C-4F28-8267-48FA05B846ED}" time="2025-11-19T13:13:32.242Z">
        <t:Attribution userId="S::matias.borquez@moptt.gov.cl::d9ab9453-46e8-4f33-9698-badd8b7ce567" userProvider="AD" userName="Matias Borquez Herrera (DGOP)"/>
        <t:Anchor>
          <t:Comment id="2056061805"/>
        </t:Anchor>
        <t:Create/>
      </t:Event>
      <t:Event id="{50808B0D-8392-46FA-80DC-2BA7EC275329}" time="2025-11-19T13:13:32.242Z">
        <t:Attribution userId="S::matias.borquez@moptt.gov.cl::d9ab9453-46e8-4f33-9698-badd8b7ce567" userProvider="AD" userName="Matias Borquez Herrera (DGOP)"/>
        <t:Anchor>
          <t:Comment id="2056061805"/>
        </t:Anchor>
        <t:Assign userId="S::leonardo.mena@moptt.gov.cl::52831f1e-75fd-4eb8-be58-3e151bb9aa0a" userProvider="AD" userName="Leonardo Mena Coronel (DGOP)"/>
      </t:Event>
      <t:Event id="{9B203214-A423-40BF-97B0-B7071557A859}" time="2025-11-19T13:13:32.242Z">
        <t:Attribution userId="S::matias.borquez@moptt.gov.cl::d9ab9453-46e8-4f33-9698-badd8b7ce567" userProvider="AD" userName="Matias Borquez Herrera (DGOP)"/>
        <t:Anchor>
          <t:Comment id="2056061805"/>
        </t:Anchor>
        <t:SetTitle title="@Leonardo Mena Coronel (DGOP) Revisemos esto please"/>
      </t:Event>
    </t:History>
  </t:Task>
  <t:Task id="{CF1BFF70-1EF8-4C94-BE35-038C5CA09A05}">
    <t:Anchor>
      <t:Comment id="395216191"/>
    </t:Anchor>
    <t:History>
      <t:Event id="{6F3AB8F3-C96A-4AEE-839B-F7257D430C0F}" time="2025-11-18T21:55:39.583Z">
        <t:Attribution userId="S::matias.borquez@moptt.gov.cl::d9ab9453-46e8-4f33-9698-badd8b7ce567" userProvider="AD" userName="Matias Borquez Herrera (DGOP)"/>
        <t:Anchor>
          <t:Comment id="395216191"/>
        </t:Anchor>
        <t:Create/>
      </t:Event>
      <t:Event id="{78B4E721-0432-4153-BD2C-3C5D1B908DDF}" time="2025-11-18T21:55:39.583Z">
        <t:Attribution userId="S::matias.borquez@moptt.gov.cl::d9ab9453-46e8-4f33-9698-badd8b7ce567" userProvider="AD" userName="Matias Borquez Herrera (DGOP)"/>
        <t:Anchor>
          <t:Comment id="395216191"/>
        </t:Anchor>
        <t:Assign userId="S::leonardo.mena@moptt.gov.cl::52831f1e-75fd-4eb8-be58-3e151bb9aa0a" userProvider="AD" userName="Leonardo Mena Coronel (DGOP)"/>
      </t:Event>
      <t:Event id="{367383F3-58B6-4498-86F8-E5BF61395933}" time="2025-11-18T21:55:39.583Z">
        <t:Attribution userId="S::matias.borquez@moptt.gov.cl::d9ab9453-46e8-4f33-9698-badd8b7ce567" userProvider="AD" userName="Matias Borquez Herrera (DGOP)"/>
        <t:Anchor>
          <t:Comment id="395216191"/>
        </t:Anchor>
        <t:SetTitle title="@Leonardo Mena Coronel (DGOP) quizás Gabi o Stefano se puede hacer cargo de esto?"/>
      </t:Event>
    </t:History>
  </t:Task>
  <t:Task id="{43C395D8-237D-41A3-A3F0-3640FDC4599A}">
    <t:Anchor>
      <t:Comment id="1686450220"/>
    </t:Anchor>
    <t:History>
      <t:Event id="{991BF746-67A1-4F99-96F9-100AFE991231}" time="2025-11-18T21:55:39.583Z">
        <t:Attribution userId="S::matias.borquez@moptt.gov.cl::d9ab9453-46e8-4f33-9698-badd8b7ce567" userProvider="AD" userName="Matias Borquez Herrera (DGOP)"/>
        <t:Anchor>
          <t:Comment id="1686450220"/>
        </t:Anchor>
        <t:Create/>
      </t:Event>
      <t:Event id="{50B116D2-96FE-4BA0-806D-80CBC912FB63}" time="2025-11-18T21:55:39.583Z">
        <t:Attribution userId="S::matias.borquez@moptt.gov.cl::d9ab9453-46e8-4f33-9698-badd8b7ce567" userProvider="AD" userName="Matias Borquez Herrera (DGOP)"/>
        <t:Anchor>
          <t:Comment id="1686450220"/>
        </t:Anchor>
        <t:Assign userId="S::leonardo.mena@moptt.gov.cl::52831f1e-75fd-4eb8-be58-3e151bb9aa0a" userProvider="AD" userName="Leonardo Mena Coronel (DGOP)"/>
      </t:Event>
      <t:Event id="{C52E23FA-19C5-430C-8133-0F186062E5F8}" time="2025-11-18T21:55:39.583Z">
        <t:Attribution userId="S::matias.borquez@moptt.gov.cl::d9ab9453-46e8-4f33-9698-badd8b7ce567" userProvider="AD" userName="Matias Borquez Herrera (DGOP)"/>
        <t:Anchor>
          <t:Comment id="1686450220"/>
        </t:Anchor>
        <t:SetTitle title="@Leonardo Mena Coronel (DGOP) quizás Gabi o Stefano se puede hacer cargo de esto?"/>
      </t:Event>
    </t:History>
  </t:Task>
  <t:Task id="{91AD8C5E-8335-4D5F-B360-A35F2541BB6F}">
    <t:Anchor>
      <t:Comment id="1637280849"/>
    </t:Anchor>
    <t:History>
      <t:Event id="{4037E262-9133-44E8-9F5E-CB6DA1D11634}" time="2025-11-19T12:15:25.649Z">
        <t:Attribution userId="S::matias.borquez@moptt.gov.cl::d9ab9453-46e8-4f33-9698-badd8b7ce567" userProvider="AD" userName="Matias Borquez Herrera (DGOP)"/>
        <t:Anchor>
          <t:Comment id="2018375581"/>
        </t:Anchor>
        <t:Create/>
      </t:Event>
      <t:Event id="{1A76285C-A3B9-4BF7-9D8C-126C74D52414}" time="2025-11-19T12:15:25.649Z">
        <t:Attribution userId="S::matias.borquez@moptt.gov.cl::d9ab9453-46e8-4f33-9698-badd8b7ce567" userProvider="AD" userName="Matias Borquez Herrera (DGOP)"/>
        <t:Anchor>
          <t:Comment id="2018375581"/>
        </t:Anchor>
        <t:Assign userId="S::gabriela.espana@moptt.gov.cl::1dc0cf82-ba10-4684-817f-c1c830f5507d" userProvider="AD" userName="Gabriela España Collío (DGOP)"/>
      </t:Event>
      <t:Event id="{126AE310-9EDE-4160-869E-339147A49799}" time="2025-11-19T12:15:25.649Z">
        <t:Attribution userId="S::matias.borquez@moptt.gov.cl::d9ab9453-46e8-4f33-9698-badd8b7ce567" userProvider="AD" userName="Matias Borquez Herrera (DGOP)"/>
        <t:Anchor>
          <t:Comment id="2018375581"/>
        </t:Anchor>
        <t:SetTitle title="@Gabriela España Collío (DGOP) Por favor, una estimación de la cantidad de profesionales y/o trabajadores asociados a lo que se menciona en el párrafo. La idea es entender la idea y si hay otro dato que funcione para reforzar la idea, entonces puedes …"/>
      </t:Event>
    </t:History>
  </t:Task>
  <t:Task id="{E794EBBD-4CCA-4C8B-BB4E-8D2C204D7EA8}">
    <t:Anchor>
      <t:Comment id="903978162"/>
    </t:Anchor>
    <t:History>
      <t:Event id="{36D411E8-95A8-4696-8BDB-66BE69C606BB}" time="2025-11-19T13:10:46.304Z">
        <t:Attribution userId="S::leonardo.mena@moptt.gov.cl::52831f1e-75fd-4eb8-be58-3e151bb9aa0a" userProvider="AD" userName="Leonardo Mena Coronel (DGOP)"/>
        <t:Anchor>
          <t:Comment id="903978162"/>
        </t:Anchor>
        <t:Create/>
      </t:Event>
      <t:Event id="{B6F38C35-4A9B-4F7E-999C-4369A103F493}" time="2025-11-19T13:10:46.304Z">
        <t:Attribution userId="S::leonardo.mena@moptt.gov.cl::52831f1e-75fd-4eb8-be58-3e151bb9aa0a" userProvider="AD" userName="Leonardo Mena Coronel (DGOP)"/>
        <t:Anchor>
          <t:Comment id="903978162"/>
        </t:Anchor>
        <t:Assign userId="S::matias.borquez@moptt.gov.cl::d9ab9453-46e8-4f33-9698-badd8b7ce567" userProvider="AD" userName="Matias Borquez Herrera (DGOP)"/>
      </t:Event>
      <t:Event id="{FBA8AF8F-44E7-43E1-9581-4F0BEEBE81DB}" time="2025-11-19T13:10:46.304Z">
        <t:Attribution userId="S::leonardo.mena@moptt.gov.cl::52831f1e-75fd-4eb8-be58-3e151bb9aa0a" userProvider="AD" userName="Leonardo Mena Coronel (DGOP)"/>
        <t:Anchor>
          <t:Comment id="903978162"/>
        </t:Anchor>
        <t:SetTitle title="@Matias Borquez Herrera (DGOP) para qué sirve este dato?"/>
      </t:Event>
    </t:History>
  </t:Task>
  <t:Task id="{35F06AD5-C91F-41AE-8E57-21ACA74AEC21}">
    <t:Anchor>
      <t:Comment id="1193774873"/>
    </t:Anchor>
    <t:History>
      <t:Event id="{13BBAA86-654B-4EC4-91B2-BACB3BFE8E78}" time="2025-11-19T12:16:25.415Z">
        <t:Attribution userId="S::matias.borquez@moptt.gov.cl::d9ab9453-46e8-4f33-9698-badd8b7ce567" userProvider="AD" userName="Matias Borquez Herrera (DGOP)"/>
        <t:Anchor>
          <t:Comment id="1193774873"/>
        </t:Anchor>
        <t:Create/>
      </t:Event>
      <t:Event id="{BC58F80B-2EAA-43A4-BB5E-3BBD7506266C}" time="2025-11-19T12:16:25.415Z">
        <t:Attribution userId="S::matias.borquez@moptt.gov.cl::d9ab9453-46e8-4f33-9698-badd8b7ce567" userProvider="AD" userName="Matias Borquez Herrera (DGOP)"/>
        <t:Anchor>
          <t:Comment id="1193774873"/>
        </t:Anchor>
        <t:Assign userId="S::gabriela.espana@moptt.gov.cl::1dc0cf82-ba10-4684-817f-c1c830f5507d" userProvider="AD" userName="Gabriela España Collío (DGOP)"/>
      </t:Event>
      <t:Event id="{F0C68E9D-31C9-48C8-8F1D-00D3D92FDE04}" time="2025-11-19T12:16:25.415Z">
        <t:Attribution userId="S::matias.borquez@moptt.gov.cl::d9ab9453-46e8-4f33-9698-badd8b7ce567" userProvider="AD" userName="Matias Borquez Herrera (DGOP)"/>
        <t:Anchor>
          <t:Comment id="1193774873"/>
        </t:Anchor>
        <t:SetTitle title="@Gabriela España Collío (DGOP) Esto debe ir en coherencia con la solicitud de más arriba."/>
      </t:Event>
    </t:History>
  </t:Task>
  <t:Task id="{BA2B28D8-9CFB-4FD0-B5F3-1F7411D59852}">
    <t:Anchor>
      <t:Comment id="1969991182"/>
    </t:Anchor>
    <t:History>
      <t:Event id="{F935CC64-4ADE-4269-A6D3-F402B8AAAC6D}" time="2025-11-19T14:36:02.567Z">
        <t:Attribution userId="S::leonardo.mena@moptt.gov.cl::52831f1e-75fd-4eb8-be58-3e151bb9aa0a" userProvider="AD" userName="Leonardo Mena Coronel (DGOP)"/>
        <t:Anchor>
          <t:Comment id="1969991182"/>
        </t:Anchor>
        <t:Create/>
      </t:Event>
      <t:Event id="{ADC8321D-10FD-4F9A-B62B-EADDA8368195}" time="2025-11-19T14:36:02.567Z">
        <t:Attribution userId="S::leonardo.mena@moptt.gov.cl::52831f1e-75fd-4eb8-be58-3e151bb9aa0a" userProvider="AD" userName="Leonardo Mena Coronel (DGOP)"/>
        <t:Anchor>
          <t:Comment id="1969991182"/>
        </t:Anchor>
        <t:Assign userId="S::gabriela.espana@moptt.gov.cl::1dc0cf82-ba10-4684-817f-c1c830f5507d" userProvider="AD" userName="Gabriela España Collío (DGOP)"/>
      </t:Event>
      <t:Event id="{43CBDBCB-0B34-4B18-9B19-5CB77E2F4FA1}" time="2025-11-19T14:36:02.567Z">
        <t:Attribution userId="S::leonardo.mena@moptt.gov.cl::52831f1e-75fd-4eb8-be58-3e151bb9aa0a" userProvider="AD" userName="Leonardo Mena Coronel (DGOP)"/>
        <t:Anchor>
          <t:Comment id="1969991182"/>
        </t:Anchor>
        <t:SetTitle title="@Gabriela España Collío (DGOP) compeltar con Km y familias en pilotos 20B"/>
      </t:Event>
    </t:History>
  </t:Task>
  <t:Task id="{8DDCCB80-3648-4D71-B0C8-474E2C41658D}">
    <t:Anchor>
      <t:Comment id="1170384902"/>
    </t:Anchor>
    <t:History>
      <t:Event id="{621D05AB-5463-4AE6-A98C-8F770C883476}" time="2025-11-19T13:10:46.304Z">
        <t:Attribution userId="S::leonardo.mena@moptt.gov.cl::52831f1e-75fd-4eb8-be58-3e151bb9aa0a" userProvider="AD" userName="Leonardo Mena Coronel (DGOP)"/>
        <t:Anchor>
          <t:Comment id="1170384902"/>
        </t:Anchor>
        <t:Create/>
      </t:Event>
      <t:Event id="{FB2F13F4-F686-4DB2-B410-47F636925F98}" time="2025-11-19T13:10:46.304Z">
        <t:Attribution userId="S::leonardo.mena@moptt.gov.cl::52831f1e-75fd-4eb8-be58-3e151bb9aa0a" userProvider="AD" userName="Leonardo Mena Coronel (DGOP)"/>
        <t:Anchor>
          <t:Comment id="1170384902"/>
        </t:Anchor>
        <t:Assign userId="S::matias.borquez@moptt.gov.cl::d9ab9453-46e8-4f33-9698-badd8b7ce567" userProvider="AD" userName="Matias Borquez Herrera (DGOP)"/>
      </t:Event>
      <t:Event id="{23737D8B-81D6-448D-B0B2-B04AE2C274BF}" time="2025-11-19T13:10:46.304Z">
        <t:Attribution userId="S::leonardo.mena@moptt.gov.cl::52831f1e-75fd-4eb8-be58-3e151bb9aa0a" userProvider="AD" userName="Leonardo Mena Coronel (DGOP)"/>
        <t:Anchor>
          <t:Comment id="1170384902"/>
        </t:Anchor>
        <t:SetTitle title="@Matias Borquez Herrera (DGOP) para qué sirve este dato?"/>
      </t:Event>
    </t:History>
  </t:Task>
  <t:Task id="{55B32CB8-FF1E-4C49-9175-2878306F44A5}">
    <t:Anchor>
      <t:Comment id="1401735554"/>
    </t:Anchor>
    <t:History>
      <t:Event id="{A78A806B-29C2-44DF-BA97-14652531172C}" time="2025-11-19T14:36:02.567Z">
        <t:Attribution userId="S::leonardo.mena@moptt.gov.cl::52831f1e-75fd-4eb8-be58-3e151bb9aa0a" userProvider="AD" userName="Leonardo Mena Coronel (DGOP)"/>
        <t:Anchor>
          <t:Comment id="1401735554"/>
        </t:Anchor>
        <t:Create/>
      </t:Event>
      <t:Event id="{DBE06F65-F90A-469B-BF91-243394CDC730}" time="2025-11-19T14:36:02.567Z">
        <t:Attribution userId="S::leonardo.mena@moptt.gov.cl::52831f1e-75fd-4eb8-be58-3e151bb9aa0a" userProvider="AD" userName="Leonardo Mena Coronel (DGOP)"/>
        <t:Anchor>
          <t:Comment id="1401735554"/>
        </t:Anchor>
        <t:Assign userId="S::gabriela.espana@moptt.gov.cl::1dc0cf82-ba10-4684-817f-c1c830f5507d" userProvider="AD" userName="Gabriela España Collío (DGOP)"/>
      </t:Event>
      <t:Event id="{2FD7D947-492F-43B2-B8D9-CB47C38BE1AE}" time="2025-11-19T14:36:02.567Z">
        <t:Attribution userId="S::leonardo.mena@moptt.gov.cl::52831f1e-75fd-4eb8-be58-3e151bb9aa0a" userProvider="AD" userName="Leonardo Mena Coronel (DGOP)"/>
        <t:Anchor>
          <t:Comment id="1401735554"/>
        </t:Anchor>
        <t:SetTitle title="@Gabriela España Collío (DGOP) compeltar con Km y familias en pilotos 20B"/>
      </t:Event>
      <t:Event id="{2269C83A-E9A5-4FE1-914E-9D8908B566D0}" time="2025-11-19T18:42:54.607Z">
        <t:Attribution userId="S::leonardo.mena@moptt.gov.cl::52831f1e-75fd-4eb8-be58-3e151bb9aa0a" userProvider="AD" userName="Leonardo Mena Coronel (DGOP)"/>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ca8783-e005-497a-8574-ae55c23c988d">
      <Terms xmlns="http://schemas.microsoft.com/office/infopath/2007/PartnerControls"/>
    </lcf76f155ced4ddcb4097134ff3c332f>
    <Hipervinculo xmlns="18ca8783-e005-497a-8574-ae55c23c988d">
      <Url xsi:nil="true"/>
      <Description xsi:nil="true"/>
    </Hipervinculo>
    <TaxCatchAll xmlns="e0da5ee7-e9f1-46f0-b645-b9c72a021d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8E3F60A7CBBA04EB5F6F09052770D7B" ma:contentTypeVersion="14" ma:contentTypeDescription="Crear nuevo documento." ma:contentTypeScope="" ma:versionID="47ec8b27f119f97347f25c94529047e4">
  <xsd:schema xmlns:xsd="http://www.w3.org/2001/XMLSchema" xmlns:xs="http://www.w3.org/2001/XMLSchema" xmlns:p="http://schemas.microsoft.com/office/2006/metadata/properties" xmlns:ns2="18ca8783-e005-497a-8574-ae55c23c988d" xmlns:ns3="e0da5ee7-e9f1-46f0-b645-b9c72a021db2" targetNamespace="http://schemas.microsoft.com/office/2006/metadata/properties" ma:root="true" ma:fieldsID="acee5c7f4a665044c770769d066af22a" ns2:_="" ns3:_="">
    <xsd:import namespace="18ca8783-e005-497a-8574-ae55c23c988d"/>
    <xsd:import namespace="e0da5ee7-e9f1-46f0-b645-b9c72a021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Hipervi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8783-e005-497a-8574-ae55c23c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895328a-50d3-4e62-9b24-0e6b011ef2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ipervinculo" ma:index="21" nillable="true" ma:displayName="Hipervinculo" ma:format="Hyperlink" ma:internalName="Hipervi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da5ee7-e9f1-46f0-b645-b9c72a021d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76d720-129e-4550-86fa-86c2470978a8}" ma:internalName="TaxCatchAll" ma:showField="CatchAllData" ma:web="e0da5ee7-e9f1-46f0-b645-b9c72a021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01874-FBD8-46CF-B420-C6D3FB6E67AE}">
  <ds:schemaRefs>
    <ds:schemaRef ds:uri="http://schemas.microsoft.com/office/2006/metadata/properties"/>
    <ds:schemaRef ds:uri="http://schemas.microsoft.com/office/infopath/2007/PartnerControls"/>
    <ds:schemaRef ds:uri="18ca8783-e005-497a-8574-ae55c23c988d"/>
    <ds:schemaRef ds:uri="e0da5ee7-e9f1-46f0-b645-b9c72a021db2"/>
  </ds:schemaRefs>
</ds:datastoreItem>
</file>

<file path=customXml/itemProps2.xml><?xml version="1.0" encoding="utf-8"?>
<ds:datastoreItem xmlns:ds="http://schemas.openxmlformats.org/officeDocument/2006/customXml" ds:itemID="{E2CE6FCF-BBD3-4DA0-A065-B161B84F2067}">
  <ds:schemaRefs>
    <ds:schemaRef ds:uri="http://schemas.openxmlformats.org/officeDocument/2006/bibliography"/>
  </ds:schemaRefs>
</ds:datastoreItem>
</file>

<file path=customXml/itemProps3.xml><?xml version="1.0" encoding="utf-8"?>
<ds:datastoreItem xmlns:ds="http://schemas.openxmlformats.org/officeDocument/2006/customXml" ds:itemID="{BD3EDDCC-4903-4E8D-ABDE-7471ECA79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8783-e005-497a-8574-ae55c23c988d"/>
    <ds:schemaRef ds:uri="e0da5ee7-e9f1-46f0-b645-b9c72a021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6321F-9EBD-4749-9A5A-9BE7B640F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3732</Words>
  <Characters>21089</Characters>
  <Application>Microsoft Office Word</Application>
  <DocSecurity>0</DocSecurity>
  <Lines>390</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Arce González</dc:creator>
  <cp:keywords/>
  <dc:description/>
  <cp:lastModifiedBy>Leticia Rivas Soto (SOP)</cp:lastModifiedBy>
  <cp:revision>3</cp:revision>
  <cp:lastPrinted>2015-05-13T13:59:00Z</cp:lastPrinted>
  <dcterms:created xsi:type="dcterms:W3CDTF">2026-02-06T13:11:00Z</dcterms:created>
  <dcterms:modified xsi:type="dcterms:W3CDTF">2026-02-06T13:22:00Z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0x01010088E3F60A7CBBA04EB5F6F09052770D7B</vt:lpwstr>
  </property>
  <property fmtid="{D5CDD505-2E9C-101B-9397-08002B2CF9AE}" pid="3" name="MediaServiceImageTags">
    <vt:lpwstr/>
  </property>
</Properties>
</file>