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A9AB2" w14:textId="77777777" w:rsidR="009449B4" w:rsidRDefault="009449B4" w:rsidP="0023431C">
      <w:pPr>
        <w:pStyle w:val="Ttulo1"/>
        <w:numPr>
          <w:ilvl w:val="0"/>
          <w:numId w:val="0"/>
        </w:numPr>
        <w:jc w:val="center"/>
        <w:rPr>
          <w:b w:val="0"/>
        </w:rPr>
      </w:pPr>
    </w:p>
    <w:p w14:paraId="691D5536" w14:textId="77777777" w:rsidR="009449B4" w:rsidRPr="00274D4F" w:rsidRDefault="009449B4" w:rsidP="0023431C">
      <w:pPr>
        <w:pStyle w:val="Ttulo1"/>
        <w:numPr>
          <w:ilvl w:val="0"/>
          <w:numId w:val="0"/>
        </w:numPr>
        <w:jc w:val="center"/>
        <w:rPr>
          <w:rFonts w:ascii="Myriad Pro" w:hAnsi="Myriad Pro"/>
          <w:b w:val="0"/>
        </w:rPr>
      </w:pPr>
    </w:p>
    <w:p w14:paraId="255ADB73" w14:textId="77777777" w:rsidR="009449B4" w:rsidRPr="00274D4F" w:rsidRDefault="009449B4" w:rsidP="0023431C">
      <w:pPr>
        <w:pStyle w:val="Ttulo1"/>
        <w:numPr>
          <w:ilvl w:val="0"/>
          <w:numId w:val="0"/>
        </w:numPr>
        <w:jc w:val="center"/>
        <w:rPr>
          <w:rFonts w:ascii="Myriad Pro" w:hAnsi="Myriad Pro"/>
          <w:b w:val="0"/>
        </w:rPr>
      </w:pPr>
    </w:p>
    <w:p w14:paraId="29A194A9" w14:textId="77777777" w:rsidR="000B0710" w:rsidRPr="00274D4F" w:rsidRDefault="000B0710" w:rsidP="000B0710">
      <w:pPr>
        <w:rPr>
          <w:rFonts w:ascii="Myriad Pro" w:hAnsi="Myriad Pro"/>
        </w:rPr>
      </w:pPr>
    </w:p>
    <w:p w14:paraId="36D0CE9E" w14:textId="77777777" w:rsidR="000B0710" w:rsidRPr="00274D4F" w:rsidRDefault="000B0710" w:rsidP="000B0710">
      <w:pPr>
        <w:rPr>
          <w:rFonts w:ascii="Myriad Pro" w:hAnsi="Myriad Pro"/>
        </w:rPr>
      </w:pPr>
    </w:p>
    <w:p w14:paraId="03935839" w14:textId="77777777" w:rsidR="009449B4" w:rsidRPr="00274D4F" w:rsidRDefault="009449B4" w:rsidP="0023431C">
      <w:pPr>
        <w:rPr>
          <w:rFonts w:ascii="Myriad Pro" w:hAnsi="Myriad Pro"/>
        </w:rPr>
      </w:pPr>
    </w:p>
    <w:p w14:paraId="46AC277F" w14:textId="38FA763C" w:rsidR="009449B4" w:rsidRPr="00274D4F" w:rsidRDefault="007A6156" w:rsidP="007A6156">
      <w:pPr>
        <w:jc w:val="center"/>
        <w:rPr>
          <w:rFonts w:ascii="Myriad Pro" w:hAnsi="Myriad Pro"/>
        </w:rPr>
      </w:pPr>
      <w:r w:rsidRPr="006C6D84">
        <w:rPr>
          <w:noProof/>
          <w:lang w:eastAsia="es-CL"/>
        </w:rPr>
        <w:drawing>
          <wp:inline distT="0" distB="0" distL="0" distR="0" wp14:anchorId="7B96B6E8" wp14:editId="1CAB3F82">
            <wp:extent cx="1933575" cy="1759996"/>
            <wp:effectExtent l="0" t="0" r="0" b="0"/>
            <wp:docPr id="1" name="Imagen 6" descr="Descripción: logo m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logo mop"/>
                    <pic:cNvPicPr>
                      <a:picLocks noChangeAspect="1" noChangeArrowheads="1"/>
                    </pic:cNvPicPr>
                  </pic:nvPicPr>
                  <pic:blipFill>
                    <a:blip r:embed="rId11"/>
                    <a:srcRect/>
                    <a:stretch>
                      <a:fillRect/>
                    </a:stretch>
                  </pic:blipFill>
                  <pic:spPr bwMode="auto">
                    <a:xfrm>
                      <a:off x="0" y="0"/>
                      <a:ext cx="1939827" cy="1765686"/>
                    </a:xfrm>
                    <a:prstGeom prst="rect">
                      <a:avLst/>
                    </a:prstGeom>
                    <a:noFill/>
                    <a:ln w="9525">
                      <a:noFill/>
                      <a:miter lim="800000"/>
                      <a:headEnd/>
                      <a:tailEnd/>
                    </a:ln>
                  </pic:spPr>
                </pic:pic>
              </a:graphicData>
            </a:graphic>
          </wp:inline>
        </w:drawing>
      </w:r>
    </w:p>
    <w:p w14:paraId="182E9AC7" w14:textId="77777777" w:rsidR="009449B4" w:rsidRPr="00DD3051" w:rsidRDefault="009449B4" w:rsidP="00DD3051"/>
    <w:p w14:paraId="4EF48FBF" w14:textId="77777777" w:rsidR="000B0710" w:rsidRPr="007A6156" w:rsidRDefault="000B0710" w:rsidP="007A6156">
      <w:pPr>
        <w:pStyle w:val="Ttulo"/>
        <w:rPr>
          <w:rFonts w:ascii="Arial" w:hAnsi="Arial" w:cs="Arial"/>
        </w:rPr>
      </w:pPr>
    </w:p>
    <w:p w14:paraId="173B68DB" w14:textId="5B7670DC" w:rsidR="006014B2" w:rsidRDefault="003072EC" w:rsidP="007A6156">
      <w:pPr>
        <w:pStyle w:val="Ttulo"/>
        <w:rPr>
          <w:rFonts w:ascii="Arial" w:hAnsi="Arial" w:cs="Arial"/>
          <w:b/>
          <w:bCs/>
          <w:sz w:val="32"/>
          <w:szCs w:val="32"/>
        </w:rPr>
      </w:pPr>
      <w:r>
        <w:rPr>
          <w:rFonts w:ascii="Arial" w:hAnsi="Arial" w:cs="Arial"/>
          <w:b/>
          <w:bCs/>
          <w:sz w:val="32"/>
          <w:szCs w:val="32"/>
        </w:rPr>
        <w:t>Infraestructura para la seguridad</w:t>
      </w:r>
    </w:p>
    <w:p w14:paraId="2EBDAB64" w14:textId="77777777" w:rsidR="007A6156" w:rsidRPr="007A6156" w:rsidRDefault="007A6156" w:rsidP="007A6156"/>
    <w:p w14:paraId="5D32648F" w14:textId="20CF4A72" w:rsidR="009449B4" w:rsidRPr="007A6156" w:rsidRDefault="00A52E22" w:rsidP="007A6156">
      <w:pPr>
        <w:pStyle w:val="Ttulo"/>
        <w:rPr>
          <w:rFonts w:ascii="Arial" w:hAnsi="Arial" w:cs="Arial"/>
          <w:b/>
          <w:bCs/>
          <w:sz w:val="32"/>
          <w:szCs w:val="32"/>
        </w:rPr>
      </w:pPr>
      <w:r w:rsidRPr="007A6156">
        <w:rPr>
          <w:rFonts w:ascii="Arial" w:hAnsi="Arial" w:cs="Arial"/>
          <w:b/>
          <w:bCs/>
          <w:sz w:val="32"/>
          <w:szCs w:val="32"/>
        </w:rPr>
        <w:t>Ministerio de Obras Públicas</w:t>
      </w:r>
    </w:p>
    <w:p w14:paraId="7148BB55" w14:textId="77777777" w:rsidR="000B0710" w:rsidRPr="00DD3051" w:rsidRDefault="000B0710" w:rsidP="00DD3051"/>
    <w:p w14:paraId="0E478F9D" w14:textId="77777777" w:rsidR="000B0710" w:rsidRPr="00DD3051" w:rsidRDefault="000B0710" w:rsidP="00DD3051"/>
    <w:p w14:paraId="76525CD9" w14:textId="77777777" w:rsidR="000B0710" w:rsidRPr="00274D4F" w:rsidRDefault="000B0710" w:rsidP="000B0710">
      <w:pPr>
        <w:rPr>
          <w:rFonts w:ascii="Myriad Pro" w:hAnsi="Myriad Pro"/>
        </w:rPr>
      </w:pPr>
    </w:p>
    <w:p w14:paraId="50C0DED3" w14:textId="77777777" w:rsidR="000B0710" w:rsidRPr="00274D4F" w:rsidRDefault="000B0710" w:rsidP="000B0710">
      <w:pPr>
        <w:rPr>
          <w:rFonts w:ascii="Myriad Pro" w:hAnsi="Myriad Pro"/>
        </w:rPr>
      </w:pPr>
    </w:p>
    <w:p w14:paraId="1231375F" w14:textId="6A176F47" w:rsidR="000B0710" w:rsidRPr="00274D4F" w:rsidRDefault="00A52E22" w:rsidP="000B0710">
      <w:pPr>
        <w:spacing w:after="0"/>
        <w:rPr>
          <w:rFonts w:ascii="Myriad Pro" w:hAnsi="Myriad Pro"/>
        </w:rPr>
      </w:pPr>
      <w:r>
        <w:rPr>
          <w:rFonts w:ascii="Myriad Pro" w:hAnsi="Myriad Pro"/>
        </w:rPr>
        <w:t>FECHA:</w:t>
      </w:r>
    </w:p>
    <w:p w14:paraId="39C495D5" w14:textId="77777777" w:rsidR="009449B4" w:rsidRPr="00274D4F" w:rsidRDefault="009449B4" w:rsidP="0023431C">
      <w:pPr>
        <w:rPr>
          <w:rFonts w:ascii="Myriad Pro" w:hAnsi="Myriad Pro"/>
        </w:rPr>
      </w:pPr>
    </w:p>
    <w:p w14:paraId="45B4D236" w14:textId="77777777" w:rsidR="009449B4" w:rsidRPr="00274D4F" w:rsidRDefault="009449B4" w:rsidP="009449B4">
      <w:pPr>
        <w:rPr>
          <w:rFonts w:ascii="Myriad Pro" w:hAnsi="Myriad Pro"/>
        </w:rPr>
      </w:pPr>
    </w:p>
    <w:p w14:paraId="44F1468C" w14:textId="4FCFBC04" w:rsidR="009449B4" w:rsidRPr="00274D4F" w:rsidRDefault="009449B4" w:rsidP="009449B4">
      <w:pPr>
        <w:rPr>
          <w:rFonts w:ascii="Myriad Pro" w:hAnsi="Myriad Pro"/>
        </w:rPr>
      </w:pPr>
    </w:p>
    <w:p w14:paraId="772C3608" w14:textId="77777777" w:rsidR="009449B4" w:rsidRPr="00274D4F" w:rsidRDefault="009449B4" w:rsidP="009449B4">
      <w:pPr>
        <w:rPr>
          <w:rFonts w:ascii="Myriad Pro" w:hAnsi="Myriad Pro"/>
        </w:rPr>
      </w:pPr>
    </w:p>
    <w:p w14:paraId="7621D48D" w14:textId="77777777" w:rsidR="00480AC7" w:rsidRPr="00274D4F" w:rsidRDefault="00480AC7" w:rsidP="009449B4">
      <w:pPr>
        <w:rPr>
          <w:rFonts w:ascii="Myriad Pro" w:hAnsi="Myriad Pro"/>
        </w:rPr>
        <w:sectPr w:rsidR="00480AC7" w:rsidRPr="00274D4F" w:rsidSect="003677E2">
          <w:headerReference w:type="even" r:id="rId12"/>
          <w:headerReference w:type="default" r:id="rId13"/>
          <w:footerReference w:type="even" r:id="rId14"/>
          <w:footerReference w:type="default" r:id="rId15"/>
          <w:headerReference w:type="first" r:id="rId16"/>
          <w:footerReference w:type="first" r:id="rId17"/>
          <w:pgSz w:w="12240" w:h="15840"/>
          <w:pgMar w:top="1276" w:right="1327" w:bottom="568" w:left="1418" w:header="0" w:footer="0" w:gutter="0"/>
          <w:cols w:space="708"/>
          <w:docGrid w:linePitch="360"/>
        </w:sectPr>
      </w:pPr>
    </w:p>
    <w:p w14:paraId="0AE42AF9" w14:textId="61F32A26" w:rsidR="001B4265" w:rsidRDefault="001B4265" w:rsidP="009449B4">
      <w:pPr>
        <w:rPr>
          <w:rFonts w:ascii="Myriad Pro" w:hAnsi="Myriad Pro"/>
        </w:rPr>
      </w:pPr>
    </w:p>
    <w:sdt>
      <w:sdtPr>
        <w:rPr>
          <w:rFonts w:asciiTheme="minorHAnsi" w:eastAsiaTheme="minorEastAsia" w:hAnsiTheme="minorHAnsi" w:cstheme="minorBidi"/>
          <w:color w:val="auto"/>
          <w:sz w:val="22"/>
          <w:szCs w:val="22"/>
          <w:lang w:val="es-ES" w:eastAsia="en-US"/>
        </w:rPr>
        <w:id w:val="-2116665757"/>
        <w:docPartObj>
          <w:docPartGallery w:val="Table of Contents"/>
          <w:docPartUnique/>
        </w:docPartObj>
      </w:sdtPr>
      <w:sdtEndPr>
        <w:rPr>
          <w:b/>
          <w:bCs/>
          <w:sz w:val="24"/>
          <w:szCs w:val="24"/>
        </w:rPr>
      </w:sdtEndPr>
      <w:sdtContent>
        <w:p w14:paraId="12EE852D" w14:textId="173836F5" w:rsidR="001B4265" w:rsidRPr="007A6156" w:rsidRDefault="001B4265">
          <w:pPr>
            <w:pStyle w:val="TtuloTDC"/>
            <w:rPr>
              <w:rFonts w:ascii="Times New Roman" w:hAnsi="Times New Roman" w:cs="Times New Roman"/>
              <w:b/>
              <w:bCs/>
              <w:color w:val="002060"/>
            </w:rPr>
          </w:pPr>
          <w:r w:rsidRPr="007A6156">
            <w:rPr>
              <w:rFonts w:ascii="Times New Roman" w:hAnsi="Times New Roman" w:cs="Times New Roman"/>
              <w:b/>
              <w:bCs/>
              <w:color w:val="002060"/>
              <w:lang w:val="es-ES"/>
            </w:rPr>
            <w:t>Contenido</w:t>
          </w:r>
        </w:p>
        <w:p w14:paraId="41AE2008" w14:textId="29053738" w:rsidR="0097016C" w:rsidRDefault="001B4265">
          <w:pPr>
            <w:pStyle w:val="TDC1"/>
            <w:tabs>
              <w:tab w:val="left" w:pos="480"/>
              <w:tab w:val="right" w:leader="dot" w:pos="9485"/>
            </w:tabs>
            <w:rPr>
              <w:rFonts w:eastAsiaTheme="minorEastAsia"/>
              <w:noProof/>
              <w:kern w:val="2"/>
              <w:sz w:val="24"/>
              <w:szCs w:val="24"/>
              <w:lang w:eastAsia="es-CL"/>
              <w14:ligatures w14:val="standardContextual"/>
            </w:rPr>
          </w:pPr>
          <w:r w:rsidRPr="00361078">
            <w:rPr>
              <w:rFonts w:ascii="Times New Roman" w:hAnsi="Times New Roman" w:cs="Times New Roman"/>
              <w:sz w:val="24"/>
              <w:szCs w:val="24"/>
            </w:rPr>
            <w:fldChar w:fldCharType="begin"/>
          </w:r>
          <w:r w:rsidRPr="00361078">
            <w:rPr>
              <w:rFonts w:ascii="Times New Roman" w:hAnsi="Times New Roman" w:cs="Times New Roman"/>
              <w:sz w:val="24"/>
              <w:szCs w:val="24"/>
            </w:rPr>
            <w:instrText xml:space="preserve"> TOC \o "1-3" \h \z \u </w:instrText>
          </w:r>
          <w:r w:rsidRPr="00361078">
            <w:rPr>
              <w:rFonts w:ascii="Times New Roman" w:hAnsi="Times New Roman" w:cs="Times New Roman"/>
              <w:sz w:val="24"/>
              <w:szCs w:val="24"/>
            </w:rPr>
            <w:fldChar w:fldCharType="separate"/>
          </w:r>
          <w:hyperlink w:anchor="_Toc213772490" w:history="1">
            <w:r w:rsidR="0097016C" w:rsidRPr="0041261E">
              <w:rPr>
                <w:rStyle w:val="Hipervnculo"/>
                <w:rFonts w:ascii="Arial" w:hAnsi="Arial" w:cs="Arial"/>
                <w:noProof/>
              </w:rPr>
              <w:t>1</w:t>
            </w:r>
            <w:r w:rsidR="0097016C">
              <w:rPr>
                <w:rFonts w:eastAsiaTheme="minorEastAsia"/>
                <w:noProof/>
                <w:kern w:val="2"/>
                <w:sz w:val="24"/>
                <w:szCs w:val="24"/>
                <w:lang w:eastAsia="es-CL"/>
                <w14:ligatures w14:val="standardContextual"/>
              </w:rPr>
              <w:tab/>
            </w:r>
            <w:r w:rsidR="0097016C" w:rsidRPr="0041261E">
              <w:rPr>
                <w:rStyle w:val="Hipervnculo"/>
                <w:rFonts w:ascii="Arial" w:hAnsi="Arial" w:cs="Arial"/>
                <w:noProof/>
              </w:rPr>
              <w:t>Introducción y relevancia del tema</w:t>
            </w:r>
            <w:r w:rsidR="0097016C">
              <w:rPr>
                <w:noProof/>
                <w:webHidden/>
              </w:rPr>
              <w:tab/>
            </w:r>
            <w:r w:rsidR="0097016C">
              <w:rPr>
                <w:noProof/>
                <w:webHidden/>
              </w:rPr>
              <w:fldChar w:fldCharType="begin"/>
            </w:r>
            <w:r w:rsidR="0097016C">
              <w:rPr>
                <w:noProof/>
                <w:webHidden/>
              </w:rPr>
              <w:instrText xml:space="preserve"> PAGEREF _Toc213772490 \h </w:instrText>
            </w:r>
            <w:r w:rsidR="0097016C">
              <w:rPr>
                <w:noProof/>
                <w:webHidden/>
              </w:rPr>
            </w:r>
            <w:r w:rsidR="0097016C">
              <w:rPr>
                <w:noProof/>
                <w:webHidden/>
              </w:rPr>
              <w:fldChar w:fldCharType="separate"/>
            </w:r>
            <w:r w:rsidR="0097016C">
              <w:rPr>
                <w:noProof/>
                <w:webHidden/>
              </w:rPr>
              <w:t>3</w:t>
            </w:r>
            <w:r w:rsidR="0097016C">
              <w:rPr>
                <w:noProof/>
                <w:webHidden/>
              </w:rPr>
              <w:fldChar w:fldCharType="end"/>
            </w:r>
          </w:hyperlink>
        </w:p>
        <w:p w14:paraId="500F9A76" w14:textId="2D8AD617" w:rsidR="0097016C" w:rsidRDefault="0097016C">
          <w:pPr>
            <w:pStyle w:val="TDC1"/>
            <w:tabs>
              <w:tab w:val="left" w:pos="480"/>
              <w:tab w:val="right" w:leader="dot" w:pos="9485"/>
            </w:tabs>
            <w:rPr>
              <w:rFonts w:eastAsiaTheme="minorEastAsia"/>
              <w:noProof/>
              <w:kern w:val="2"/>
              <w:sz w:val="24"/>
              <w:szCs w:val="24"/>
              <w:lang w:eastAsia="es-CL"/>
              <w14:ligatures w14:val="standardContextual"/>
            </w:rPr>
          </w:pPr>
          <w:hyperlink w:anchor="_Toc213772491" w:history="1">
            <w:r w:rsidRPr="0041261E">
              <w:rPr>
                <w:rStyle w:val="Hipervnculo"/>
                <w:rFonts w:ascii="Arial" w:hAnsi="Arial" w:cs="Arial"/>
                <w:noProof/>
              </w:rPr>
              <w:t>2</w:t>
            </w:r>
            <w:r>
              <w:rPr>
                <w:rFonts w:eastAsiaTheme="minorEastAsia"/>
                <w:noProof/>
                <w:kern w:val="2"/>
                <w:sz w:val="24"/>
                <w:szCs w:val="24"/>
                <w:lang w:eastAsia="es-CL"/>
                <w14:ligatures w14:val="standardContextual"/>
              </w:rPr>
              <w:tab/>
            </w:r>
            <w:r w:rsidRPr="0041261E">
              <w:rPr>
                <w:rStyle w:val="Hipervnculo"/>
                <w:rFonts w:ascii="Arial" w:hAnsi="Arial" w:cs="Arial"/>
                <w:noProof/>
              </w:rPr>
              <w:t>Diagnóstico - ¿Qué recibimos en 2022?</w:t>
            </w:r>
            <w:r>
              <w:rPr>
                <w:noProof/>
                <w:webHidden/>
              </w:rPr>
              <w:tab/>
            </w:r>
            <w:r>
              <w:rPr>
                <w:noProof/>
                <w:webHidden/>
              </w:rPr>
              <w:fldChar w:fldCharType="begin"/>
            </w:r>
            <w:r>
              <w:rPr>
                <w:noProof/>
                <w:webHidden/>
              </w:rPr>
              <w:instrText xml:space="preserve"> PAGEREF _Toc213772491 \h </w:instrText>
            </w:r>
            <w:r>
              <w:rPr>
                <w:noProof/>
                <w:webHidden/>
              </w:rPr>
            </w:r>
            <w:r>
              <w:rPr>
                <w:noProof/>
                <w:webHidden/>
              </w:rPr>
              <w:fldChar w:fldCharType="separate"/>
            </w:r>
            <w:r>
              <w:rPr>
                <w:noProof/>
                <w:webHidden/>
              </w:rPr>
              <w:t>3</w:t>
            </w:r>
            <w:r>
              <w:rPr>
                <w:noProof/>
                <w:webHidden/>
              </w:rPr>
              <w:fldChar w:fldCharType="end"/>
            </w:r>
          </w:hyperlink>
        </w:p>
        <w:p w14:paraId="01A58C9E" w14:textId="4288088A" w:rsidR="0097016C" w:rsidRDefault="0097016C">
          <w:pPr>
            <w:pStyle w:val="TDC1"/>
            <w:tabs>
              <w:tab w:val="left" w:pos="480"/>
              <w:tab w:val="right" w:leader="dot" w:pos="9485"/>
            </w:tabs>
            <w:rPr>
              <w:rFonts w:eastAsiaTheme="minorEastAsia"/>
              <w:noProof/>
              <w:kern w:val="2"/>
              <w:sz w:val="24"/>
              <w:szCs w:val="24"/>
              <w:lang w:eastAsia="es-CL"/>
              <w14:ligatures w14:val="standardContextual"/>
            </w:rPr>
          </w:pPr>
          <w:hyperlink w:anchor="_Toc213772492" w:history="1">
            <w:r w:rsidRPr="0041261E">
              <w:rPr>
                <w:rStyle w:val="Hipervnculo"/>
                <w:rFonts w:ascii="Arial" w:hAnsi="Arial" w:cs="Arial"/>
                <w:noProof/>
              </w:rPr>
              <w:t>3</w:t>
            </w:r>
            <w:r>
              <w:rPr>
                <w:rFonts w:eastAsiaTheme="minorEastAsia"/>
                <w:noProof/>
                <w:kern w:val="2"/>
                <w:sz w:val="24"/>
                <w:szCs w:val="24"/>
                <w:lang w:eastAsia="es-CL"/>
                <w14:ligatures w14:val="standardContextual"/>
              </w:rPr>
              <w:tab/>
            </w:r>
            <w:r w:rsidRPr="0041261E">
              <w:rPr>
                <w:rStyle w:val="Hipervnculo"/>
                <w:rFonts w:ascii="Arial" w:hAnsi="Arial" w:cs="Arial"/>
                <w:noProof/>
              </w:rPr>
              <w:t>Avances durante el Gobierno (2022-2026)</w:t>
            </w:r>
            <w:r>
              <w:rPr>
                <w:noProof/>
                <w:webHidden/>
              </w:rPr>
              <w:tab/>
            </w:r>
            <w:r>
              <w:rPr>
                <w:noProof/>
                <w:webHidden/>
              </w:rPr>
              <w:fldChar w:fldCharType="begin"/>
            </w:r>
            <w:r>
              <w:rPr>
                <w:noProof/>
                <w:webHidden/>
              </w:rPr>
              <w:instrText xml:space="preserve"> PAGEREF _Toc213772492 \h </w:instrText>
            </w:r>
            <w:r>
              <w:rPr>
                <w:noProof/>
                <w:webHidden/>
              </w:rPr>
            </w:r>
            <w:r>
              <w:rPr>
                <w:noProof/>
                <w:webHidden/>
              </w:rPr>
              <w:fldChar w:fldCharType="separate"/>
            </w:r>
            <w:r>
              <w:rPr>
                <w:noProof/>
                <w:webHidden/>
              </w:rPr>
              <w:t>3</w:t>
            </w:r>
            <w:r>
              <w:rPr>
                <w:noProof/>
                <w:webHidden/>
              </w:rPr>
              <w:fldChar w:fldCharType="end"/>
            </w:r>
          </w:hyperlink>
        </w:p>
        <w:p w14:paraId="47104484" w14:textId="1595F8CF" w:rsidR="0097016C" w:rsidRDefault="0097016C">
          <w:pPr>
            <w:pStyle w:val="TDC1"/>
            <w:tabs>
              <w:tab w:val="left" w:pos="480"/>
              <w:tab w:val="right" w:leader="dot" w:pos="9485"/>
            </w:tabs>
            <w:rPr>
              <w:rFonts w:eastAsiaTheme="minorEastAsia"/>
              <w:noProof/>
              <w:kern w:val="2"/>
              <w:sz w:val="24"/>
              <w:szCs w:val="24"/>
              <w:lang w:eastAsia="es-CL"/>
              <w14:ligatures w14:val="standardContextual"/>
            </w:rPr>
          </w:pPr>
          <w:hyperlink w:anchor="_Toc213772493" w:history="1">
            <w:r w:rsidRPr="0041261E">
              <w:rPr>
                <w:rStyle w:val="Hipervnculo"/>
                <w:rFonts w:ascii="Arial" w:hAnsi="Arial" w:cs="Arial"/>
                <w:noProof/>
              </w:rPr>
              <w:t>4</w:t>
            </w:r>
            <w:r>
              <w:rPr>
                <w:rFonts w:eastAsiaTheme="minorEastAsia"/>
                <w:noProof/>
                <w:kern w:val="2"/>
                <w:sz w:val="24"/>
                <w:szCs w:val="24"/>
                <w:lang w:eastAsia="es-CL"/>
                <w14:ligatures w14:val="standardContextual"/>
              </w:rPr>
              <w:tab/>
            </w:r>
            <w:r w:rsidRPr="0041261E">
              <w:rPr>
                <w:rStyle w:val="Hipervnculo"/>
                <w:rFonts w:ascii="Arial" w:hAnsi="Arial" w:cs="Arial"/>
                <w:noProof/>
              </w:rPr>
              <w:t>Dificultades y aprendizajes</w:t>
            </w:r>
            <w:r>
              <w:rPr>
                <w:noProof/>
                <w:webHidden/>
              </w:rPr>
              <w:tab/>
            </w:r>
            <w:r>
              <w:rPr>
                <w:noProof/>
                <w:webHidden/>
              </w:rPr>
              <w:fldChar w:fldCharType="begin"/>
            </w:r>
            <w:r>
              <w:rPr>
                <w:noProof/>
                <w:webHidden/>
              </w:rPr>
              <w:instrText xml:space="preserve"> PAGEREF _Toc213772493 \h </w:instrText>
            </w:r>
            <w:r>
              <w:rPr>
                <w:noProof/>
                <w:webHidden/>
              </w:rPr>
            </w:r>
            <w:r>
              <w:rPr>
                <w:noProof/>
                <w:webHidden/>
              </w:rPr>
              <w:fldChar w:fldCharType="separate"/>
            </w:r>
            <w:r>
              <w:rPr>
                <w:noProof/>
                <w:webHidden/>
              </w:rPr>
              <w:t>4</w:t>
            </w:r>
            <w:r>
              <w:rPr>
                <w:noProof/>
                <w:webHidden/>
              </w:rPr>
              <w:fldChar w:fldCharType="end"/>
            </w:r>
          </w:hyperlink>
        </w:p>
        <w:p w14:paraId="562161DB" w14:textId="2CDC6FBE" w:rsidR="0097016C" w:rsidRDefault="0097016C">
          <w:pPr>
            <w:pStyle w:val="TDC1"/>
            <w:tabs>
              <w:tab w:val="left" w:pos="480"/>
              <w:tab w:val="right" w:leader="dot" w:pos="9485"/>
            </w:tabs>
            <w:rPr>
              <w:rFonts w:eastAsiaTheme="minorEastAsia"/>
              <w:noProof/>
              <w:kern w:val="2"/>
              <w:sz w:val="24"/>
              <w:szCs w:val="24"/>
              <w:lang w:eastAsia="es-CL"/>
              <w14:ligatures w14:val="standardContextual"/>
            </w:rPr>
          </w:pPr>
          <w:hyperlink w:anchor="_Toc213772494" w:history="1">
            <w:r w:rsidRPr="0041261E">
              <w:rPr>
                <w:rStyle w:val="Hipervnculo"/>
                <w:rFonts w:ascii="Arial" w:hAnsi="Arial" w:cs="Arial"/>
                <w:noProof/>
              </w:rPr>
              <w:t>5</w:t>
            </w:r>
            <w:r>
              <w:rPr>
                <w:rFonts w:eastAsiaTheme="minorEastAsia"/>
                <w:noProof/>
                <w:kern w:val="2"/>
                <w:sz w:val="24"/>
                <w:szCs w:val="24"/>
                <w:lang w:eastAsia="es-CL"/>
                <w14:ligatures w14:val="standardContextual"/>
              </w:rPr>
              <w:tab/>
            </w:r>
            <w:r w:rsidRPr="0041261E">
              <w:rPr>
                <w:rStyle w:val="Hipervnculo"/>
                <w:rFonts w:ascii="Arial" w:hAnsi="Arial" w:cs="Arial"/>
                <w:noProof/>
              </w:rPr>
              <w:t>Proyección y recomendaciones de continuidad</w:t>
            </w:r>
            <w:r>
              <w:rPr>
                <w:noProof/>
                <w:webHidden/>
              </w:rPr>
              <w:tab/>
            </w:r>
            <w:r>
              <w:rPr>
                <w:noProof/>
                <w:webHidden/>
              </w:rPr>
              <w:fldChar w:fldCharType="begin"/>
            </w:r>
            <w:r>
              <w:rPr>
                <w:noProof/>
                <w:webHidden/>
              </w:rPr>
              <w:instrText xml:space="preserve"> PAGEREF _Toc213772494 \h </w:instrText>
            </w:r>
            <w:r>
              <w:rPr>
                <w:noProof/>
                <w:webHidden/>
              </w:rPr>
            </w:r>
            <w:r>
              <w:rPr>
                <w:noProof/>
                <w:webHidden/>
              </w:rPr>
              <w:fldChar w:fldCharType="separate"/>
            </w:r>
            <w:r>
              <w:rPr>
                <w:noProof/>
                <w:webHidden/>
              </w:rPr>
              <w:t>4</w:t>
            </w:r>
            <w:r>
              <w:rPr>
                <w:noProof/>
                <w:webHidden/>
              </w:rPr>
              <w:fldChar w:fldCharType="end"/>
            </w:r>
          </w:hyperlink>
        </w:p>
        <w:p w14:paraId="6377D28F" w14:textId="59B3F50F" w:rsidR="001B4265" w:rsidRPr="00361078" w:rsidRDefault="001B4265">
          <w:pPr>
            <w:rPr>
              <w:rFonts w:ascii="Times New Roman" w:hAnsi="Times New Roman" w:cs="Times New Roman"/>
              <w:sz w:val="24"/>
              <w:szCs w:val="24"/>
            </w:rPr>
          </w:pPr>
          <w:r w:rsidRPr="00361078">
            <w:rPr>
              <w:rFonts w:ascii="Times New Roman" w:hAnsi="Times New Roman" w:cs="Times New Roman"/>
              <w:b/>
              <w:bCs/>
              <w:sz w:val="24"/>
              <w:szCs w:val="24"/>
              <w:lang w:val="es-ES"/>
            </w:rPr>
            <w:fldChar w:fldCharType="end"/>
          </w:r>
        </w:p>
      </w:sdtContent>
    </w:sdt>
    <w:p w14:paraId="48A4E09A" w14:textId="77777777" w:rsidR="001B4265" w:rsidRDefault="001B4265">
      <w:pPr>
        <w:jc w:val="left"/>
        <w:rPr>
          <w:rFonts w:ascii="Myriad Pro" w:hAnsi="Myriad Pro"/>
        </w:rPr>
      </w:pPr>
      <w:r w:rsidRPr="289EE394">
        <w:rPr>
          <w:rFonts w:ascii="Myriad Pro" w:hAnsi="Myriad Pro"/>
        </w:rPr>
        <w:br w:type="page"/>
      </w:r>
    </w:p>
    <w:p w14:paraId="6E514EC6" w14:textId="6FC51824" w:rsidR="009449B4" w:rsidRPr="007A6156" w:rsidRDefault="009449B4" w:rsidP="00AF7D5B">
      <w:pPr>
        <w:pStyle w:val="Ttulo1"/>
        <w:ind w:left="426" w:hanging="426"/>
        <w:rPr>
          <w:rFonts w:ascii="Arial" w:hAnsi="Arial" w:cs="Arial"/>
          <w:color w:val="002060"/>
        </w:rPr>
      </w:pPr>
      <w:bookmarkStart w:id="0" w:name="_Toc213772490"/>
      <w:r w:rsidRPr="007A6156">
        <w:rPr>
          <w:rFonts w:ascii="Arial" w:hAnsi="Arial" w:cs="Arial"/>
          <w:color w:val="002060"/>
        </w:rPr>
        <w:lastRenderedPageBreak/>
        <w:t>Introducción</w:t>
      </w:r>
      <w:r w:rsidR="00A52E22" w:rsidRPr="007A6156">
        <w:rPr>
          <w:rFonts w:ascii="Arial" w:hAnsi="Arial" w:cs="Arial"/>
          <w:color w:val="002060"/>
        </w:rPr>
        <w:t xml:space="preserve"> y relevancia del tema</w:t>
      </w:r>
      <w:bookmarkEnd w:id="0"/>
    </w:p>
    <w:p w14:paraId="1A809708" w14:textId="77777777" w:rsidR="00A52E22" w:rsidRPr="00AC1CD4" w:rsidRDefault="00A52E22" w:rsidP="0BBC845F">
      <w:pPr>
        <w:rPr>
          <w:rFonts w:ascii="Arial" w:eastAsia="Arial" w:hAnsi="Arial" w:cs="Arial"/>
          <w:sz w:val="24"/>
          <w:szCs w:val="24"/>
        </w:rPr>
      </w:pPr>
    </w:p>
    <w:p w14:paraId="14C096D5" w14:textId="3EE5B0F3" w:rsidR="00AC1CD4" w:rsidRDefault="70B4772D" w:rsidP="289EE394">
      <w:pPr>
        <w:shd w:val="clear" w:color="auto" w:fill="FFFFFF" w:themeFill="background1"/>
        <w:rPr>
          <w:rFonts w:ascii="Arial" w:eastAsia="Arial" w:hAnsi="Arial" w:cs="Arial"/>
          <w:color w:val="0A0A0A"/>
          <w:sz w:val="24"/>
          <w:szCs w:val="24"/>
        </w:rPr>
      </w:pPr>
      <w:r w:rsidRPr="289EE394">
        <w:rPr>
          <w:rFonts w:ascii="Arial" w:eastAsia="Arial" w:hAnsi="Arial" w:cs="Arial"/>
          <w:color w:val="0A0A0A"/>
          <w:sz w:val="24"/>
          <w:szCs w:val="24"/>
        </w:rPr>
        <w:t>La seguridad pública es un derecho universal, no un privilegio</w:t>
      </w:r>
      <w:r w:rsidR="00DD3448">
        <w:rPr>
          <w:rFonts w:ascii="Arial" w:eastAsia="Arial" w:hAnsi="Arial" w:cs="Arial"/>
          <w:color w:val="0A0A0A"/>
          <w:sz w:val="24"/>
          <w:szCs w:val="24"/>
        </w:rPr>
        <w:t>, y es hoy la principal preocupación de los chilenos</w:t>
      </w:r>
      <w:r w:rsidRPr="289EE394">
        <w:rPr>
          <w:rFonts w:ascii="Arial" w:eastAsia="Arial" w:hAnsi="Arial" w:cs="Arial"/>
          <w:color w:val="0A0A0A"/>
          <w:sz w:val="24"/>
          <w:szCs w:val="24"/>
        </w:rPr>
        <w:t>.</w:t>
      </w:r>
      <w:r w:rsidR="00A342F2">
        <w:rPr>
          <w:rFonts w:ascii="Arial" w:eastAsia="Arial" w:hAnsi="Arial" w:cs="Arial"/>
          <w:color w:val="0A0A0A"/>
          <w:sz w:val="24"/>
          <w:szCs w:val="24"/>
        </w:rPr>
        <w:t xml:space="preserve"> Esta demanda exige una respuesta integral del Estado que incluye un componente estructural, infraestruc</w:t>
      </w:r>
      <w:r w:rsidR="003B52EE">
        <w:rPr>
          <w:rFonts w:ascii="Arial" w:eastAsia="Arial" w:hAnsi="Arial" w:cs="Arial"/>
          <w:color w:val="0A0A0A"/>
          <w:sz w:val="24"/>
          <w:szCs w:val="24"/>
        </w:rPr>
        <w:t>tura policial adecuada para garantizar la presencia territorial efectiva.</w:t>
      </w:r>
      <w:r w:rsidRPr="289EE394">
        <w:rPr>
          <w:rFonts w:ascii="Arial" w:eastAsia="Arial" w:hAnsi="Arial" w:cs="Arial"/>
          <w:color w:val="0A0A0A"/>
          <w:sz w:val="24"/>
          <w:szCs w:val="24"/>
        </w:rPr>
        <w:t xml:space="preserve"> Para </w:t>
      </w:r>
      <w:r w:rsidR="003B52EE">
        <w:rPr>
          <w:rFonts w:ascii="Arial" w:eastAsia="Arial" w:hAnsi="Arial" w:cs="Arial"/>
          <w:color w:val="0A0A0A"/>
          <w:sz w:val="24"/>
          <w:szCs w:val="24"/>
        </w:rPr>
        <w:t>ello</w:t>
      </w:r>
      <w:r w:rsidRPr="289EE394">
        <w:rPr>
          <w:rFonts w:ascii="Arial" w:eastAsia="Arial" w:hAnsi="Arial" w:cs="Arial"/>
          <w:color w:val="0A0A0A"/>
          <w:sz w:val="24"/>
          <w:szCs w:val="24"/>
        </w:rPr>
        <w:t xml:space="preserve">, el Gobierno </w:t>
      </w:r>
      <w:r w:rsidR="003B52EE">
        <w:rPr>
          <w:rFonts w:ascii="Arial" w:eastAsia="Arial" w:hAnsi="Arial" w:cs="Arial"/>
          <w:color w:val="0A0A0A"/>
          <w:sz w:val="24"/>
          <w:szCs w:val="24"/>
        </w:rPr>
        <w:t xml:space="preserve">del Presidente Gabriel Boric ha </w:t>
      </w:r>
      <w:r w:rsidRPr="289EE394">
        <w:rPr>
          <w:rFonts w:ascii="Arial" w:eastAsia="Arial" w:hAnsi="Arial" w:cs="Arial"/>
          <w:color w:val="0A0A0A"/>
          <w:sz w:val="24"/>
          <w:szCs w:val="24"/>
        </w:rPr>
        <w:t>prioriza</w:t>
      </w:r>
      <w:r w:rsidR="003B52EE">
        <w:rPr>
          <w:rFonts w:ascii="Arial" w:eastAsia="Arial" w:hAnsi="Arial" w:cs="Arial"/>
          <w:color w:val="0A0A0A"/>
          <w:sz w:val="24"/>
          <w:szCs w:val="24"/>
        </w:rPr>
        <w:t>do</w:t>
      </w:r>
      <w:r w:rsidRPr="289EE394">
        <w:rPr>
          <w:rFonts w:ascii="Arial" w:eastAsia="Arial" w:hAnsi="Arial" w:cs="Arial"/>
          <w:color w:val="0A0A0A"/>
          <w:sz w:val="24"/>
          <w:szCs w:val="24"/>
        </w:rPr>
        <w:t xml:space="preserve"> la inversión en infraestructura para las policías</w:t>
      </w:r>
      <w:r w:rsidR="79B20B9E" w:rsidRPr="289EE394">
        <w:rPr>
          <w:rFonts w:ascii="Arial" w:eastAsia="Arial" w:hAnsi="Arial" w:cs="Arial"/>
          <w:color w:val="0A0A0A"/>
          <w:sz w:val="24"/>
          <w:szCs w:val="24"/>
        </w:rPr>
        <w:t>, en el marco de las reformas que se han impulsado en</w:t>
      </w:r>
      <w:r w:rsidR="7F61BC81" w:rsidRPr="289EE394">
        <w:rPr>
          <w:rFonts w:ascii="Arial" w:eastAsia="Arial" w:hAnsi="Arial" w:cs="Arial"/>
          <w:color w:val="0A0A0A"/>
          <w:sz w:val="24"/>
          <w:szCs w:val="24"/>
        </w:rPr>
        <w:t xml:space="preserve"> </w:t>
      </w:r>
      <w:r w:rsidR="79B20B9E" w:rsidRPr="289EE394">
        <w:rPr>
          <w:rFonts w:ascii="Arial" w:eastAsia="Arial" w:hAnsi="Arial" w:cs="Arial"/>
          <w:color w:val="0A0A0A"/>
          <w:sz w:val="24"/>
          <w:szCs w:val="24"/>
        </w:rPr>
        <w:t>el periodo que apuntan a su modernización</w:t>
      </w:r>
      <w:r w:rsidRPr="289EE394">
        <w:rPr>
          <w:rFonts w:ascii="Arial" w:eastAsia="Arial" w:hAnsi="Arial" w:cs="Arial"/>
          <w:color w:val="0A0A0A"/>
          <w:sz w:val="24"/>
          <w:szCs w:val="24"/>
        </w:rPr>
        <w:t xml:space="preserve">. Esto incluye la construcción y </w:t>
      </w:r>
      <w:r w:rsidR="0DD24BED" w:rsidRPr="289EE394">
        <w:rPr>
          <w:rFonts w:ascii="Arial" w:eastAsia="Arial" w:hAnsi="Arial" w:cs="Arial"/>
          <w:color w:val="0A0A0A"/>
          <w:sz w:val="24"/>
          <w:szCs w:val="24"/>
        </w:rPr>
        <w:t>mejoramiento</w:t>
      </w:r>
      <w:r w:rsidRPr="289EE394">
        <w:rPr>
          <w:rFonts w:ascii="Arial" w:eastAsia="Arial" w:hAnsi="Arial" w:cs="Arial"/>
          <w:color w:val="0A0A0A"/>
          <w:sz w:val="24"/>
          <w:szCs w:val="24"/>
        </w:rPr>
        <w:t xml:space="preserve"> de comisarías, retenes y cuarteles de la PDI, además de</w:t>
      </w:r>
      <w:r w:rsidR="443D2EB8" w:rsidRPr="289EE394">
        <w:rPr>
          <w:rFonts w:ascii="Arial" w:eastAsia="Arial" w:hAnsi="Arial" w:cs="Arial"/>
          <w:color w:val="0A0A0A"/>
          <w:sz w:val="24"/>
          <w:szCs w:val="24"/>
        </w:rPr>
        <w:t xml:space="preserve"> mejorar las instalaciones de los</w:t>
      </w:r>
      <w:r w:rsidRPr="289EE394">
        <w:rPr>
          <w:rFonts w:ascii="Arial" w:eastAsia="Arial" w:hAnsi="Arial" w:cs="Arial"/>
          <w:color w:val="0A0A0A"/>
          <w:sz w:val="24"/>
          <w:szCs w:val="24"/>
        </w:rPr>
        <w:t xml:space="preserve"> puntos de control migratorio en todo el territorio nacional. El objetivo es asegurar una presencia policial digna y eficaz en todo el país, garantizando que cada habitante, sin importar su ubicación o condición social, pueda ejercer su derecho fundamental a vivir seguro y respaldado por instituciones con la infraestructura adecuada para protegerlos.</w:t>
      </w:r>
    </w:p>
    <w:p w14:paraId="4B913C00" w14:textId="4FF6575B" w:rsidR="00AC1CD4" w:rsidRDefault="623F6A52" w:rsidP="49A181D8">
      <w:pPr>
        <w:shd w:val="clear" w:color="auto" w:fill="FFFFFF" w:themeFill="background1"/>
      </w:pPr>
      <w:r w:rsidRPr="289EE394">
        <w:rPr>
          <w:rFonts w:ascii="Arial" w:eastAsia="Arial" w:hAnsi="Arial" w:cs="Arial"/>
          <w:color w:val="0A0A0A"/>
          <w:sz w:val="24"/>
          <w:szCs w:val="24"/>
        </w:rPr>
        <w:t>E</w:t>
      </w:r>
      <w:r w:rsidR="70B4772D" w:rsidRPr="289EE394">
        <w:rPr>
          <w:rFonts w:ascii="Arial" w:eastAsia="Arial" w:hAnsi="Arial" w:cs="Arial"/>
          <w:color w:val="0A0A0A"/>
          <w:sz w:val="24"/>
          <w:szCs w:val="24"/>
        </w:rPr>
        <w:t>l Ministerio de Obras Públicas</w:t>
      </w:r>
      <w:r w:rsidR="1E9A458B" w:rsidRPr="289EE394">
        <w:rPr>
          <w:rFonts w:ascii="Arial" w:eastAsia="Arial" w:hAnsi="Arial" w:cs="Arial"/>
          <w:color w:val="0A0A0A"/>
          <w:sz w:val="24"/>
          <w:szCs w:val="24"/>
        </w:rPr>
        <w:t xml:space="preserve"> por medio de su Dirección de Arquitectura</w:t>
      </w:r>
      <w:r w:rsidR="70B4772D" w:rsidRPr="289EE394">
        <w:rPr>
          <w:rFonts w:ascii="Arial" w:eastAsia="Arial" w:hAnsi="Arial" w:cs="Arial"/>
          <w:color w:val="0A0A0A"/>
          <w:sz w:val="24"/>
          <w:szCs w:val="24"/>
        </w:rPr>
        <w:t xml:space="preserve">, </w:t>
      </w:r>
      <w:r w:rsidR="69D1AD56" w:rsidRPr="289EE394">
        <w:rPr>
          <w:rFonts w:ascii="Arial" w:eastAsia="Arial" w:hAnsi="Arial" w:cs="Arial"/>
          <w:color w:val="0A0A0A"/>
          <w:sz w:val="24"/>
          <w:szCs w:val="24"/>
        </w:rPr>
        <w:t xml:space="preserve">en coordinación con las Policías, Unidad de Pasos Fronterizos y el Ministerio de Seguridad Pública, </w:t>
      </w:r>
      <w:r w:rsidR="70B4772D" w:rsidRPr="289EE394">
        <w:rPr>
          <w:rFonts w:ascii="Arial" w:eastAsia="Arial" w:hAnsi="Arial" w:cs="Arial"/>
          <w:color w:val="0A0A0A"/>
          <w:sz w:val="24"/>
          <w:szCs w:val="24"/>
        </w:rPr>
        <w:t xml:space="preserve">está trabajando en la cartera de proyectos de infraestructura policial, que permita responder a estas necesidades con un foco en la equidad y la presencia territorial. Esta cartera de proyectos tiene como objetivo mejorar el estándar de las instalaciones para los funcionarios policiales a nivel nacional, contribuyendo significativamente a reducir la ocurrencia de hechos delictuales y mejorar la percepción de seguridad ciudadana. </w:t>
      </w:r>
    </w:p>
    <w:p w14:paraId="5D36A0A2" w14:textId="29AD9DC4" w:rsidR="00AC1CD4" w:rsidRDefault="70B4772D" w:rsidP="49A181D8">
      <w:pPr>
        <w:shd w:val="clear" w:color="auto" w:fill="FFFFFF" w:themeFill="background1"/>
      </w:pPr>
      <w:r w:rsidRPr="289EE394">
        <w:rPr>
          <w:rFonts w:ascii="Arial" w:eastAsia="Arial" w:hAnsi="Arial" w:cs="Arial"/>
          <w:color w:val="0A0A0A"/>
          <w:sz w:val="24"/>
          <w:szCs w:val="24"/>
        </w:rPr>
        <w:t>La idea central es que los funcionarios de Carabineros y la PDI puedan actuar de forma ágil y oportuna, atendiendo a las necesidades de la población y brindando un acompañamiento cercano las comunidades. Además, estas instalaciones buscan entregar a la comunidad un espacio que represente la presencia sólida del Estado en el territorio.</w:t>
      </w:r>
    </w:p>
    <w:p w14:paraId="194C3F72" w14:textId="41B0ECF3" w:rsidR="00AC1CD4" w:rsidRDefault="70B4772D" w:rsidP="289EE394">
      <w:pPr>
        <w:shd w:val="clear" w:color="auto" w:fill="FFFFFF" w:themeFill="background1"/>
        <w:rPr>
          <w:rFonts w:ascii="Arial" w:hAnsi="Arial" w:cs="Arial"/>
        </w:rPr>
      </w:pPr>
      <w:r w:rsidRPr="289EE394">
        <w:rPr>
          <w:rFonts w:ascii="Arial" w:eastAsia="Arial" w:hAnsi="Arial" w:cs="Arial"/>
          <w:color w:val="0A0A0A"/>
          <w:sz w:val="24"/>
          <w:szCs w:val="24"/>
        </w:rPr>
        <w:t xml:space="preserve">Para lograr esto, la </w:t>
      </w:r>
      <w:r w:rsidR="50256951" w:rsidRPr="289EE394">
        <w:rPr>
          <w:rFonts w:ascii="Arial" w:eastAsia="Arial" w:hAnsi="Arial" w:cs="Arial"/>
          <w:color w:val="0A0A0A"/>
          <w:sz w:val="24"/>
          <w:szCs w:val="24"/>
        </w:rPr>
        <w:t>Dirección de Arquitectura</w:t>
      </w:r>
      <w:r w:rsidRPr="289EE394">
        <w:rPr>
          <w:rFonts w:ascii="Arial" w:eastAsia="Arial" w:hAnsi="Arial" w:cs="Arial"/>
          <w:color w:val="0A0A0A"/>
          <w:sz w:val="24"/>
          <w:szCs w:val="24"/>
        </w:rPr>
        <w:t xml:space="preserve"> tiene como objetivo construir nuevas instalaciones y mejorar las que existen actualmente a lo largo del país, se busca adaptar la infraestructura a las necesidades específicas de cada localidad. De esta manera, contribuimos a mejorar las condiciones laborales de los funcionarios policiales, adecuándonos a nuevos requerimientos y estándares, no solo desde el punto de vista operativo, sino también con el objeto de atraer a más personas con vocación de servicio a estas instituciones, que busquen contribuir al desarrollo del país a través de la seguridad desde una mirada integral.</w:t>
      </w:r>
      <w:r w:rsidRPr="289EE394">
        <w:rPr>
          <w:rFonts w:ascii="Arial" w:hAnsi="Arial" w:cs="Arial"/>
        </w:rPr>
        <w:t xml:space="preserve"> </w:t>
      </w:r>
    </w:p>
    <w:p w14:paraId="210BB7A0" w14:textId="54A40C29" w:rsidR="008F17DD" w:rsidRPr="007A6156" w:rsidRDefault="0039487B" w:rsidP="00436122">
      <w:pPr>
        <w:pStyle w:val="Ttulo1"/>
        <w:ind w:left="426" w:hanging="426"/>
        <w:rPr>
          <w:rFonts w:ascii="Arial" w:hAnsi="Arial" w:cs="Arial"/>
          <w:color w:val="002060"/>
        </w:rPr>
      </w:pPr>
      <w:r>
        <w:rPr>
          <w:rFonts w:ascii="Arial" w:hAnsi="Arial" w:cs="Arial"/>
        </w:rPr>
        <w:lastRenderedPageBreak/>
        <w:t xml:space="preserve"> </w:t>
      </w:r>
      <w:bookmarkStart w:id="1" w:name="_Toc213772491"/>
      <w:r w:rsidR="00A52E22" w:rsidRPr="4DBA21A9">
        <w:rPr>
          <w:rFonts w:ascii="Arial" w:hAnsi="Arial" w:cs="Arial"/>
          <w:color w:val="002060"/>
        </w:rPr>
        <w:t>Diagnóstico - ¿Qué recibimos en 2022?</w:t>
      </w:r>
      <w:bookmarkEnd w:id="1"/>
    </w:p>
    <w:p w14:paraId="79FE523D" w14:textId="77777777" w:rsidR="00A52E22" w:rsidRPr="00AC1CD4" w:rsidRDefault="00A52E22" w:rsidP="00A52E22">
      <w:pPr>
        <w:rPr>
          <w:rFonts w:ascii="Arial" w:hAnsi="Arial" w:cs="Arial"/>
        </w:rPr>
      </w:pPr>
    </w:p>
    <w:p w14:paraId="64053EF7" w14:textId="508F05CC" w:rsidR="32A15D17" w:rsidRPr="006C2789" w:rsidRDefault="32A15D17" w:rsidP="289EE394">
      <w:pPr>
        <w:shd w:val="clear" w:color="auto" w:fill="FFFFFF" w:themeFill="background1"/>
        <w:rPr>
          <w:rFonts w:ascii="Arial" w:eastAsia="Arial" w:hAnsi="Arial" w:cs="Arial"/>
          <w:color w:val="0A0A0A"/>
          <w:sz w:val="24"/>
          <w:szCs w:val="24"/>
        </w:rPr>
      </w:pPr>
      <w:r w:rsidRPr="006C2789">
        <w:rPr>
          <w:rFonts w:ascii="Arial" w:eastAsia="Arial" w:hAnsi="Arial" w:cs="Arial"/>
          <w:color w:val="0A0A0A"/>
          <w:sz w:val="24"/>
          <w:szCs w:val="24"/>
        </w:rPr>
        <w:t>En 2022 se recibió un portafolio de proyectos de inversión que puso de manifiesto un desafío significativo en su estructuración, reflejado inicialmente en un bajo número de iniciativas viables de ejecutar en el corto plazo.  Se constató la ausencia de criterios de priorización definidos, lo que impidió, en un primer momento, una asignación eficiente de recursos al no estar alineados estratégicamente con los objetivos institucionales</w:t>
      </w:r>
      <w:r w:rsidR="6009B2DC" w:rsidRPr="006C2789">
        <w:rPr>
          <w:rFonts w:ascii="Arial" w:eastAsia="Arial" w:hAnsi="Arial" w:cs="Arial"/>
          <w:color w:val="0A0A0A"/>
          <w:sz w:val="24"/>
          <w:szCs w:val="24"/>
        </w:rPr>
        <w:t>.</w:t>
      </w:r>
    </w:p>
    <w:p w14:paraId="08D7F055" w14:textId="1E2E8C98" w:rsidR="6009B2DC" w:rsidRPr="006C2789" w:rsidRDefault="6009B2DC" w:rsidP="289EE394">
      <w:pPr>
        <w:shd w:val="clear" w:color="auto" w:fill="FFFFFF" w:themeFill="background1"/>
        <w:rPr>
          <w:rFonts w:ascii="Arial" w:eastAsia="Arial" w:hAnsi="Arial" w:cs="Arial"/>
          <w:color w:val="0A0A0A"/>
          <w:sz w:val="24"/>
          <w:szCs w:val="24"/>
        </w:rPr>
      </w:pPr>
      <w:r w:rsidRPr="006C2789">
        <w:rPr>
          <w:rFonts w:ascii="Arial" w:eastAsia="Arial" w:hAnsi="Arial" w:cs="Arial"/>
          <w:color w:val="0A0A0A"/>
          <w:sz w:val="24"/>
          <w:szCs w:val="24"/>
        </w:rPr>
        <w:t>La falta de lineamientos claros y metodologías de gestión estandarizadas que comprometieran a todos los actores relevantes del proceso de manera intersectorial comprometía la viabilidad de la ejecución de las iniciativas presentadas, dificultando el establecimiento de un cronograma de trabajo coherente y la medición objetiva del progreso.</w:t>
      </w:r>
    </w:p>
    <w:p w14:paraId="10D99F1B" w14:textId="6CB15E8B" w:rsidR="7D143268" w:rsidRPr="006C2789" w:rsidRDefault="7D143268" w:rsidP="289EE394">
      <w:pPr>
        <w:shd w:val="clear" w:color="auto" w:fill="FFFFFF" w:themeFill="background1"/>
        <w:rPr>
          <w:rFonts w:ascii="Arial" w:eastAsia="Arial" w:hAnsi="Arial" w:cs="Arial"/>
          <w:color w:val="0A0A0A"/>
          <w:sz w:val="24"/>
          <w:szCs w:val="24"/>
        </w:rPr>
      </w:pPr>
      <w:r w:rsidRPr="006C2789">
        <w:rPr>
          <w:rFonts w:ascii="Arial" w:eastAsia="Arial" w:hAnsi="Arial" w:cs="Arial"/>
          <w:color w:val="0A0A0A"/>
          <w:sz w:val="24"/>
          <w:szCs w:val="24"/>
        </w:rPr>
        <w:t>La consecuencia de la situación económica mundial de la época, producto de la pandemia y los efectos que ello provoco en el mercado en general y en particular en el ligado al rubro de la construcción, el alza de los insumos, que impactan directamente en las obras públicas, el crecimiento económico y a la generación y mantención del empleo que superó la curva normal de comportamiento.</w:t>
      </w:r>
    </w:p>
    <w:p w14:paraId="4F0BA68C" w14:textId="08F62C0B" w:rsidR="6A9F94AE" w:rsidRPr="00D5472C" w:rsidRDefault="6A9F94AE" w:rsidP="289EE394">
      <w:pPr>
        <w:shd w:val="clear" w:color="auto" w:fill="FFFFFF" w:themeFill="background1"/>
        <w:rPr>
          <w:rFonts w:ascii="Arial" w:eastAsia="Roboto" w:hAnsi="Arial" w:cs="Arial"/>
          <w:color w:val="0A0A0A"/>
          <w:sz w:val="24"/>
          <w:szCs w:val="24"/>
        </w:rPr>
      </w:pPr>
      <w:r w:rsidRPr="00D5472C">
        <w:rPr>
          <w:rFonts w:ascii="Arial" w:eastAsia="Roboto" w:hAnsi="Arial" w:cs="Arial"/>
          <w:color w:val="0A0A0A"/>
          <w:sz w:val="24"/>
          <w:szCs w:val="24"/>
        </w:rPr>
        <w:t xml:space="preserve">El estado de la cartera vigente correspondiente al año 2022 fue recibido conforme, según se detalla en la tabla adjunta. Se incluyeron los contratos vigentes de la época, registrados en la base de datos con corte al 15 de marzo de 2022, lo anterior sirvió como línea base para el seguimiento y la gestión </w:t>
      </w:r>
      <w:r w:rsidR="1CD08E93" w:rsidRPr="00D5472C">
        <w:rPr>
          <w:rFonts w:ascii="Arial" w:eastAsia="Roboto" w:hAnsi="Arial" w:cs="Arial"/>
          <w:color w:val="0A0A0A"/>
          <w:sz w:val="24"/>
          <w:szCs w:val="24"/>
        </w:rPr>
        <w:t>además de la priorización y coordinación con los otros actores relevantes del proceso.</w:t>
      </w:r>
    </w:p>
    <w:tbl>
      <w:tblPr>
        <w:tblW w:w="0" w:type="auto"/>
        <w:tblLook w:val="04A0" w:firstRow="1" w:lastRow="0" w:firstColumn="1" w:lastColumn="0" w:noHBand="0" w:noVBand="1"/>
      </w:tblPr>
      <w:tblGrid>
        <w:gridCol w:w="1617"/>
        <w:gridCol w:w="3216"/>
        <w:gridCol w:w="1431"/>
        <w:gridCol w:w="3231"/>
      </w:tblGrid>
      <w:tr w:rsidR="289EE394" w14:paraId="5766A8AC" w14:textId="77777777" w:rsidTr="289EE394">
        <w:trPr>
          <w:trHeight w:val="480"/>
        </w:trPr>
        <w:tc>
          <w:tcPr>
            <w:tcW w:w="1625" w:type="dxa"/>
            <w:tcBorders>
              <w:top w:val="single" w:sz="8" w:space="0" w:color="2F75B5"/>
              <w:left w:val="nil"/>
              <w:bottom w:val="nil"/>
              <w:right w:val="nil"/>
            </w:tcBorders>
            <w:shd w:val="clear" w:color="auto" w:fill="5B9BD5" w:themeFill="accent1"/>
            <w:tcMar>
              <w:top w:w="15" w:type="dxa"/>
              <w:left w:w="15" w:type="dxa"/>
              <w:right w:w="15" w:type="dxa"/>
            </w:tcMar>
            <w:vAlign w:val="center"/>
          </w:tcPr>
          <w:p w14:paraId="0100781E" w14:textId="271EAF98" w:rsidR="289EE394" w:rsidRDefault="289EE394" w:rsidP="289EE394">
            <w:pPr>
              <w:spacing w:after="0"/>
              <w:jc w:val="left"/>
              <w:rPr>
                <w:rFonts w:eastAsiaTheme="minorEastAsia"/>
                <w:b/>
                <w:bCs/>
                <w:color w:val="FFFFFF" w:themeColor="background1"/>
                <w:sz w:val="18"/>
                <w:szCs w:val="18"/>
              </w:rPr>
            </w:pPr>
            <w:r w:rsidRPr="289EE394">
              <w:rPr>
                <w:rFonts w:eastAsiaTheme="minorEastAsia"/>
                <w:b/>
                <w:bCs/>
                <w:color w:val="FFFFFF" w:themeColor="background1"/>
                <w:sz w:val="18"/>
                <w:szCs w:val="18"/>
              </w:rPr>
              <w:t xml:space="preserve">ETAPA           PERIODO 2018-2021 </w:t>
            </w:r>
          </w:p>
        </w:tc>
        <w:tc>
          <w:tcPr>
            <w:tcW w:w="3238" w:type="dxa"/>
            <w:tcBorders>
              <w:top w:val="single" w:sz="8" w:space="0" w:color="2F75B5"/>
              <w:left w:val="nil"/>
              <w:bottom w:val="nil"/>
              <w:right w:val="nil"/>
            </w:tcBorders>
            <w:shd w:val="clear" w:color="auto" w:fill="5B9BD5" w:themeFill="accent1"/>
            <w:tcMar>
              <w:top w:w="15" w:type="dxa"/>
              <w:left w:w="15" w:type="dxa"/>
              <w:right w:w="15" w:type="dxa"/>
            </w:tcMar>
            <w:vAlign w:val="center"/>
          </w:tcPr>
          <w:p w14:paraId="16572D1E" w14:textId="1B6C1435" w:rsidR="289EE394" w:rsidRDefault="289EE394" w:rsidP="289EE394">
            <w:pPr>
              <w:spacing w:after="0"/>
              <w:jc w:val="left"/>
              <w:rPr>
                <w:rFonts w:eastAsiaTheme="minorEastAsia"/>
                <w:b/>
                <w:bCs/>
                <w:color w:val="FFFFFF" w:themeColor="background1"/>
                <w:sz w:val="18"/>
                <w:szCs w:val="18"/>
              </w:rPr>
            </w:pPr>
            <w:r w:rsidRPr="289EE394">
              <w:rPr>
                <w:rFonts w:eastAsiaTheme="minorEastAsia"/>
                <w:b/>
                <w:bCs/>
                <w:color w:val="FFFFFF" w:themeColor="background1"/>
                <w:sz w:val="18"/>
                <w:szCs w:val="18"/>
              </w:rPr>
              <w:t xml:space="preserve">ESTADOS AL INICIO DE GOBIERNO  - PERIODO 2018-2021 </w:t>
            </w:r>
          </w:p>
        </w:tc>
        <w:tc>
          <w:tcPr>
            <w:tcW w:w="1436" w:type="dxa"/>
            <w:tcBorders>
              <w:top w:val="single" w:sz="8" w:space="0" w:color="2F75B5"/>
              <w:left w:val="nil"/>
              <w:bottom w:val="nil"/>
              <w:right w:val="nil"/>
            </w:tcBorders>
            <w:shd w:val="clear" w:color="auto" w:fill="5B9BD5" w:themeFill="accent1"/>
            <w:tcMar>
              <w:top w:w="15" w:type="dxa"/>
              <w:left w:w="15" w:type="dxa"/>
              <w:right w:w="15" w:type="dxa"/>
            </w:tcMar>
            <w:vAlign w:val="center"/>
          </w:tcPr>
          <w:p w14:paraId="4185824C" w14:textId="7C3B1385" w:rsidR="289EE394" w:rsidRDefault="289EE394" w:rsidP="289EE394">
            <w:pPr>
              <w:spacing w:after="0"/>
              <w:jc w:val="left"/>
              <w:rPr>
                <w:rFonts w:eastAsiaTheme="minorEastAsia"/>
                <w:color w:val="FFFFFF" w:themeColor="background1"/>
                <w:sz w:val="18"/>
                <w:szCs w:val="18"/>
              </w:rPr>
            </w:pPr>
            <w:r w:rsidRPr="289EE394">
              <w:rPr>
                <w:rFonts w:eastAsiaTheme="minorEastAsia"/>
                <w:b/>
                <w:bCs/>
                <w:color w:val="FFFFFF" w:themeColor="background1"/>
                <w:sz w:val="18"/>
                <w:szCs w:val="18"/>
              </w:rPr>
              <w:t>N° INICIATIVAS</w:t>
            </w:r>
            <w:r w:rsidRPr="289EE394">
              <w:rPr>
                <w:rFonts w:eastAsiaTheme="minorEastAsia"/>
                <w:color w:val="FFFFFF" w:themeColor="background1"/>
                <w:sz w:val="18"/>
                <w:szCs w:val="18"/>
              </w:rPr>
              <w:t xml:space="preserve"> </w:t>
            </w:r>
          </w:p>
        </w:tc>
        <w:tc>
          <w:tcPr>
            <w:tcW w:w="3250" w:type="dxa"/>
            <w:tcBorders>
              <w:top w:val="single" w:sz="8" w:space="0" w:color="2F75B5"/>
              <w:left w:val="nil"/>
              <w:bottom w:val="nil"/>
              <w:right w:val="nil"/>
            </w:tcBorders>
            <w:shd w:val="clear" w:color="auto" w:fill="5B9BD5" w:themeFill="accent1"/>
            <w:tcMar>
              <w:top w:w="15" w:type="dxa"/>
              <w:left w:w="15" w:type="dxa"/>
              <w:right w:w="15" w:type="dxa"/>
            </w:tcMar>
            <w:vAlign w:val="center"/>
          </w:tcPr>
          <w:p w14:paraId="671B9752" w14:textId="589AA7AA" w:rsidR="289EE394" w:rsidRDefault="289EE394" w:rsidP="289EE394">
            <w:pPr>
              <w:spacing w:after="0"/>
              <w:jc w:val="right"/>
              <w:rPr>
                <w:rFonts w:eastAsiaTheme="minorEastAsia"/>
                <w:color w:val="FFFFFF" w:themeColor="background1"/>
                <w:sz w:val="18"/>
                <w:szCs w:val="18"/>
              </w:rPr>
            </w:pPr>
            <w:r w:rsidRPr="289EE394">
              <w:rPr>
                <w:rFonts w:eastAsiaTheme="minorEastAsia"/>
                <w:b/>
                <w:bCs/>
                <w:color w:val="FFFFFF" w:themeColor="background1"/>
                <w:sz w:val="18"/>
                <w:szCs w:val="18"/>
              </w:rPr>
              <w:t>MONTO VIGENTE</w:t>
            </w:r>
            <w:r w:rsidRPr="289EE394">
              <w:rPr>
                <w:rFonts w:eastAsiaTheme="minorEastAsia"/>
                <w:color w:val="FFFFFF" w:themeColor="background1"/>
                <w:sz w:val="18"/>
                <w:szCs w:val="18"/>
              </w:rPr>
              <w:t xml:space="preserve"> (Moneda 2021)</w:t>
            </w:r>
          </w:p>
        </w:tc>
      </w:tr>
      <w:tr w:rsidR="289EE394" w14:paraId="38833AF5" w14:textId="77777777" w:rsidTr="289EE394">
        <w:trPr>
          <w:trHeight w:val="300"/>
        </w:trPr>
        <w:tc>
          <w:tcPr>
            <w:tcW w:w="1625" w:type="dxa"/>
            <w:shd w:val="clear" w:color="auto" w:fill="DDEBF7"/>
            <w:tcMar>
              <w:top w:w="15" w:type="dxa"/>
              <w:left w:w="15" w:type="dxa"/>
              <w:right w:w="15" w:type="dxa"/>
            </w:tcMar>
            <w:vAlign w:val="center"/>
          </w:tcPr>
          <w:p w14:paraId="56FF9761" w14:textId="08B49B34" w:rsidR="289EE394" w:rsidRDefault="289EE394" w:rsidP="289EE394">
            <w:pPr>
              <w:spacing w:after="0"/>
              <w:jc w:val="left"/>
              <w:rPr>
                <w:rFonts w:eastAsiaTheme="minorEastAsia"/>
                <w:color w:val="000000" w:themeColor="text1"/>
                <w:sz w:val="18"/>
                <w:szCs w:val="18"/>
              </w:rPr>
            </w:pPr>
            <w:r w:rsidRPr="289EE394">
              <w:rPr>
                <w:rFonts w:eastAsiaTheme="minorEastAsia"/>
                <w:b/>
                <w:bCs/>
                <w:color w:val="000000" w:themeColor="text1"/>
                <w:sz w:val="18"/>
                <w:szCs w:val="18"/>
              </w:rPr>
              <w:t>01 DISEÑO</w:t>
            </w:r>
            <w:r w:rsidRPr="289EE394">
              <w:rPr>
                <w:rFonts w:eastAsiaTheme="minorEastAsia"/>
                <w:color w:val="000000" w:themeColor="text1"/>
                <w:sz w:val="18"/>
                <w:szCs w:val="18"/>
              </w:rPr>
              <w:t xml:space="preserve"> </w:t>
            </w:r>
          </w:p>
        </w:tc>
        <w:tc>
          <w:tcPr>
            <w:tcW w:w="3238" w:type="dxa"/>
            <w:tcBorders>
              <w:top w:val="nil"/>
              <w:bottom w:val="nil"/>
              <w:right w:val="nil"/>
            </w:tcBorders>
            <w:tcMar>
              <w:top w:w="15" w:type="dxa"/>
              <w:left w:w="15" w:type="dxa"/>
              <w:right w:w="15" w:type="dxa"/>
            </w:tcMar>
            <w:vAlign w:val="center"/>
          </w:tcPr>
          <w:p w14:paraId="0D512099" w14:textId="3B2AAFBE" w:rsidR="289EE394" w:rsidRDefault="289EE394" w:rsidP="289EE394">
            <w:pPr>
              <w:spacing w:after="0"/>
              <w:jc w:val="left"/>
              <w:rPr>
                <w:rFonts w:eastAsiaTheme="minorEastAsia"/>
                <w:color w:val="000000" w:themeColor="text1"/>
                <w:sz w:val="18"/>
                <w:szCs w:val="18"/>
              </w:rPr>
            </w:pPr>
            <w:r w:rsidRPr="289EE394">
              <w:rPr>
                <w:rFonts w:eastAsiaTheme="minorEastAsia"/>
                <w:color w:val="000000" w:themeColor="text1"/>
                <w:sz w:val="18"/>
                <w:szCs w:val="18"/>
              </w:rPr>
              <w:t xml:space="preserve">DISEÑO EN EJECUCIÓN </w:t>
            </w:r>
          </w:p>
        </w:tc>
        <w:tc>
          <w:tcPr>
            <w:tcW w:w="1436" w:type="dxa"/>
            <w:tcBorders>
              <w:top w:val="nil"/>
              <w:left w:val="nil"/>
              <w:bottom w:val="nil"/>
              <w:right w:val="nil"/>
            </w:tcBorders>
            <w:tcMar>
              <w:top w:w="15" w:type="dxa"/>
              <w:left w:w="15" w:type="dxa"/>
              <w:right w:w="15" w:type="dxa"/>
            </w:tcMar>
            <w:vAlign w:val="center"/>
          </w:tcPr>
          <w:p w14:paraId="5C9314A1" w14:textId="2C8DA7AE" w:rsidR="289EE394" w:rsidRDefault="289EE394" w:rsidP="289EE394">
            <w:pPr>
              <w:spacing w:after="0"/>
              <w:jc w:val="center"/>
              <w:rPr>
                <w:rFonts w:eastAsiaTheme="minorEastAsia"/>
                <w:color w:val="000000" w:themeColor="text1"/>
                <w:sz w:val="18"/>
                <w:szCs w:val="18"/>
              </w:rPr>
            </w:pPr>
            <w:r w:rsidRPr="289EE394">
              <w:rPr>
                <w:rFonts w:eastAsiaTheme="minorEastAsia"/>
                <w:color w:val="000000" w:themeColor="text1"/>
                <w:sz w:val="18"/>
                <w:szCs w:val="18"/>
              </w:rPr>
              <w:t>10</w:t>
            </w:r>
          </w:p>
        </w:tc>
        <w:tc>
          <w:tcPr>
            <w:tcW w:w="3250" w:type="dxa"/>
            <w:tcBorders>
              <w:top w:val="nil"/>
              <w:left w:val="nil"/>
              <w:bottom w:val="nil"/>
              <w:right w:val="nil"/>
            </w:tcBorders>
            <w:tcMar>
              <w:top w:w="15" w:type="dxa"/>
              <w:left w:w="15" w:type="dxa"/>
              <w:right w:w="15" w:type="dxa"/>
            </w:tcMar>
            <w:vAlign w:val="center"/>
          </w:tcPr>
          <w:p w14:paraId="51E0DEA9" w14:textId="630A64A0" w:rsidR="289EE394" w:rsidRDefault="289EE394" w:rsidP="289EE394">
            <w:pPr>
              <w:spacing w:after="0"/>
              <w:jc w:val="right"/>
              <w:rPr>
                <w:rFonts w:eastAsiaTheme="minorEastAsia"/>
                <w:color w:val="000000" w:themeColor="text1"/>
                <w:sz w:val="18"/>
                <w:szCs w:val="18"/>
              </w:rPr>
            </w:pPr>
            <w:r w:rsidRPr="289EE394">
              <w:rPr>
                <w:rFonts w:eastAsiaTheme="minorEastAsia"/>
                <w:color w:val="000000" w:themeColor="text1"/>
                <w:sz w:val="18"/>
                <w:szCs w:val="18"/>
              </w:rPr>
              <w:t>1.834.608.425</w:t>
            </w:r>
          </w:p>
        </w:tc>
      </w:tr>
      <w:tr w:rsidR="289EE394" w14:paraId="4CBCC647" w14:textId="77777777" w:rsidTr="289EE394">
        <w:trPr>
          <w:trHeight w:val="300"/>
        </w:trPr>
        <w:tc>
          <w:tcPr>
            <w:tcW w:w="1625" w:type="dxa"/>
            <w:shd w:val="clear" w:color="auto" w:fill="BDD7EE"/>
            <w:tcMar>
              <w:top w:w="15" w:type="dxa"/>
              <w:left w:w="15" w:type="dxa"/>
              <w:right w:w="15" w:type="dxa"/>
            </w:tcMar>
            <w:vAlign w:val="center"/>
          </w:tcPr>
          <w:p w14:paraId="36B07085" w14:textId="3B299DE4" w:rsidR="289EE394" w:rsidRDefault="289EE394" w:rsidP="289EE394">
            <w:pPr>
              <w:spacing w:after="0"/>
              <w:jc w:val="left"/>
              <w:rPr>
                <w:rFonts w:eastAsiaTheme="minorEastAsia"/>
                <w:color w:val="000000" w:themeColor="text1"/>
                <w:sz w:val="18"/>
                <w:szCs w:val="18"/>
              </w:rPr>
            </w:pPr>
            <w:r w:rsidRPr="289EE394">
              <w:rPr>
                <w:rFonts w:eastAsiaTheme="minorEastAsia"/>
                <w:b/>
                <w:bCs/>
                <w:color w:val="000000" w:themeColor="text1"/>
                <w:sz w:val="18"/>
                <w:szCs w:val="18"/>
              </w:rPr>
              <w:t>Total 01 DISEÑO</w:t>
            </w:r>
            <w:r w:rsidRPr="289EE394">
              <w:rPr>
                <w:rFonts w:eastAsiaTheme="minorEastAsia"/>
                <w:color w:val="000000" w:themeColor="text1"/>
                <w:sz w:val="18"/>
                <w:szCs w:val="18"/>
              </w:rPr>
              <w:t xml:space="preserve"> </w:t>
            </w:r>
          </w:p>
        </w:tc>
        <w:tc>
          <w:tcPr>
            <w:tcW w:w="3238" w:type="dxa"/>
            <w:tcBorders>
              <w:top w:val="nil"/>
              <w:bottom w:val="nil"/>
              <w:right w:val="nil"/>
            </w:tcBorders>
            <w:shd w:val="clear" w:color="auto" w:fill="BDD7EE"/>
            <w:tcMar>
              <w:top w:w="15" w:type="dxa"/>
              <w:left w:w="15" w:type="dxa"/>
              <w:right w:w="15" w:type="dxa"/>
            </w:tcMar>
            <w:vAlign w:val="center"/>
          </w:tcPr>
          <w:p w14:paraId="749D8042" w14:textId="2109368D" w:rsidR="289EE394" w:rsidRDefault="289EE394" w:rsidP="289EE394">
            <w:pPr>
              <w:spacing w:after="0"/>
              <w:rPr>
                <w:rFonts w:eastAsiaTheme="minorEastAsia"/>
                <w:sz w:val="18"/>
                <w:szCs w:val="18"/>
              </w:rPr>
            </w:pPr>
            <w:r w:rsidRPr="289EE394">
              <w:rPr>
                <w:rFonts w:eastAsiaTheme="minorEastAsia"/>
                <w:sz w:val="18"/>
                <w:szCs w:val="18"/>
              </w:rPr>
              <w:t xml:space="preserve"> </w:t>
            </w:r>
          </w:p>
        </w:tc>
        <w:tc>
          <w:tcPr>
            <w:tcW w:w="1436" w:type="dxa"/>
            <w:tcBorders>
              <w:top w:val="nil"/>
              <w:left w:val="nil"/>
              <w:bottom w:val="nil"/>
              <w:right w:val="nil"/>
            </w:tcBorders>
            <w:shd w:val="clear" w:color="auto" w:fill="BDD7EE"/>
            <w:tcMar>
              <w:top w:w="15" w:type="dxa"/>
              <w:left w:w="15" w:type="dxa"/>
              <w:right w:w="15" w:type="dxa"/>
            </w:tcMar>
            <w:vAlign w:val="center"/>
          </w:tcPr>
          <w:p w14:paraId="745BB767" w14:textId="15A8BB7C" w:rsidR="289EE394" w:rsidRDefault="289EE394" w:rsidP="289EE394">
            <w:pPr>
              <w:spacing w:after="0"/>
              <w:jc w:val="center"/>
              <w:rPr>
                <w:rFonts w:eastAsiaTheme="minorEastAsia"/>
                <w:b/>
                <w:bCs/>
                <w:color w:val="000000" w:themeColor="text1"/>
                <w:sz w:val="18"/>
                <w:szCs w:val="18"/>
              </w:rPr>
            </w:pPr>
            <w:r w:rsidRPr="289EE394">
              <w:rPr>
                <w:rFonts w:eastAsiaTheme="minorEastAsia"/>
                <w:b/>
                <w:bCs/>
                <w:color w:val="000000" w:themeColor="text1"/>
                <w:sz w:val="18"/>
                <w:szCs w:val="18"/>
              </w:rPr>
              <w:t>10</w:t>
            </w:r>
          </w:p>
        </w:tc>
        <w:tc>
          <w:tcPr>
            <w:tcW w:w="3250" w:type="dxa"/>
            <w:tcBorders>
              <w:top w:val="nil"/>
              <w:left w:val="nil"/>
              <w:bottom w:val="nil"/>
              <w:right w:val="nil"/>
            </w:tcBorders>
            <w:shd w:val="clear" w:color="auto" w:fill="BDD7EE"/>
            <w:tcMar>
              <w:top w:w="15" w:type="dxa"/>
              <w:left w:w="15" w:type="dxa"/>
              <w:right w:w="15" w:type="dxa"/>
            </w:tcMar>
            <w:vAlign w:val="center"/>
          </w:tcPr>
          <w:p w14:paraId="132FC410" w14:textId="48D35083" w:rsidR="289EE394" w:rsidRDefault="289EE394" w:rsidP="289EE394">
            <w:pPr>
              <w:spacing w:after="0"/>
              <w:jc w:val="right"/>
              <w:rPr>
                <w:rFonts w:eastAsiaTheme="minorEastAsia"/>
                <w:b/>
                <w:bCs/>
                <w:color w:val="000000" w:themeColor="text1"/>
                <w:sz w:val="18"/>
                <w:szCs w:val="18"/>
              </w:rPr>
            </w:pPr>
            <w:r w:rsidRPr="289EE394">
              <w:rPr>
                <w:rFonts w:eastAsiaTheme="minorEastAsia"/>
                <w:b/>
                <w:bCs/>
                <w:color w:val="000000" w:themeColor="text1"/>
                <w:sz w:val="18"/>
                <w:szCs w:val="18"/>
              </w:rPr>
              <w:t>1.834.608.425</w:t>
            </w:r>
          </w:p>
        </w:tc>
      </w:tr>
      <w:tr w:rsidR="289EE394" w14:paraId="5E433155" w14:textId="77777777" w:rsidTr="289EE394">
        <w:trPr>
          <w:trHeight w:val="300"/>
        </w:trPr>
        <w:tc>
          <w:tcPr>
            <w:tcW w:w="1625" w:type="dxa"/>
            <w:shd w:val="clear" w:color="auto" w:fill="DDEBF7"/>
            <w:tcMar>
              <w:top w:w="15" w:type="dxa"/>
              <w:left w:w="15" w:type="dxa"/>
              <w:right w:w="15" w:type="dxa"/>
            </w:tcMar>
            <w:vAlign w:val="center"/>
          </w:tcPr>
          <w:p w14:paraId="21F17A0C" w14:textId="4FD1D3EB" w:rsidR="289EE394" w:rsidRDefault="289EE394" w:rsidP="289EE394">
            <w:pPr>
              <w:spacing w:after="0"/>
              <w:jc w:val="left"/>
              <w:rPr>
                <w:rFonts w:eastAsiaTheme="minorEastAsia"/>
                <w:color w:val="000000" w:themeColor="text1"/>
                <w:sz w:val="18"/>
                <w:szCs w:val="18"/>
              </w:rPr>
            </w:pPr>
            <w:r w:rsidRPr="289EE394">
              <w:rPr>
                <w:rFonts w:eastAsiaTheme="minorEastAsia"/>
                <w:b/>
                <w:bCs/>
                <w:color w:val="000000" w:themeColor="text1"/>
                <w:sz w:val="18"/>
                <w:szCs w:val="18"/>
              </w:rPr>
              <w:t>02 OBRA</w:t>
            </w:r>
            <w:r w:rsidRPr="289EE394">
              <w:rPr>
                <w:rFonts w:eastAsiaTheme="minorEastAsia"/>
                <w:color w:val="000000" w:themeColor="text1"/>
                <w:sz w:val="18"/>
                <w:szCs w:val="18"/>
              </w:rPr>
              <w:t xml:space="preserve"> </w:t>
            </w:r>
          </w:p>
        </w:tc>
        <w:tc>
          <w:tcPr>
            <w:tcW w:w="3238" w:type="dxa"/>
            <w:tcBorders>
              <w:top w:val="nil"/>
              <w:bottom w:val="nil"/>
              <w:right w:val="nil"/>
            </w:tcBorders>
            <w:tcMar>
              <w:top w:w="15" w:type="dxa"/>
              <w:left w:w="15" w:type="dxa"/>
              <w:right w:w="15" w:type="dxa"/>
            </w:tcMar>
            <w:vAlign w:val="center"/>
          </w:tcPr>
          <w:p w14:paraId="1C5E9F75" w14:textId="084D4948" w:rsidR="289EE394" w:rsidRDefault="289EE394" w:rsidP="289EE394">
            <w:pPr>
              <w:spacing w:after="0"/>
              <w:jc w:val="left"/>
              <w:rPr>
                <w:rFonts w:eastAsiaTheme="minorEastAsia"/>
                <w:color w:val="000000" w:themeColor="text1"/>
                <w:sz w:val="18"/>
                <w:szCs w:val="18"/>
              </w:rPr>
            </w:pPr>
            <w:r w:rsidRPr="289EE394">
              <w:rPr>
                <w:rFonts w:eastAsiaTheme="minorEastAsia"/>
                <w:color w:val="000000" w:themeColor="text1"/>
                <w:sz w:val="18"/>
                <w:szCs w:val="18"/>
              </w:rPr>
              <w:t xml:space="preserve">OBRA EN EJECUCIÓN </w:t>
            </w:r>
          </w:p>
        </w:tc>
        <w:tc>
          <w:tcPr>
            <w:tcW w:w="1436" w:type="dxa"/>
            <w:tcBorders>
              <w:top w:val="nil"/>
              <w:left w:val="nil"/>
              <w:bottom w:val="nil"/>
              <w:right w:val="nil"/>
            </w:tcBorders>
            <w:tcMar>
              <w:top w:w="15" w:type="dxa"/>
              <w:left w:w="15" w:type="dxa"/>
              <w:right w:w="15" w:type="dxa"/>
            </w:tcMar>
            <w:vAlign w:val="center"/>
          </w:tcPr>
          <w:p w14:paraId="18A79B9C" w14:textId="6E5B7594" w:rsidR="289EE394" w:rsidRDefault="289EE394" w:rsidP="289EE394">
            <w:pPr>
              <w:spacing w:after="0"/>
              <w:jc w:val="center"/>
              <w:rPr>
                <w:rFonts w:eastAsiaTheme="minorEastAsia"/>
                <w:color w:val="000000" w:themeColor="text1"/>
                <w:sz w:val="18"/>
                <w:szCs w:val="18"/>
              </w:rPr>
            </w:pPr>
            <w:r w:rsidRPr="289EE394">
              <w:rPr>
                <w:rFonts w:eastAsiaTheme="minorEastAsia"/>
                <w:color w:val="000000" w:themeColor="text1"/>
                <w:sz w:val="18"/>
                <w:szCs w:val="18"/>
              </w:rPr>
              <w:t>26</w:t>
            </w:r>
          </w:p>
        </w:tc>
        <w:tc>
          <w:tcPr>
            <w:tcW w:w="3250" w:type="dxa"/>
            <w:tcBorders>
              <w:top w:val="nil"/>
              <w:left w:val="nil"/>
              <w:bottom w:val="nil"/>
              <w:right w:val="nil"/>
            </w:tcBorders>
            <w:tcMar>
              <w:top w:w="15" w:type="dxa"/>
              <w:left w:w="15" w:type="dxa"/>
              <w:right w:w="15" w:type="dxa"/>
            </w:tcMar>
            <w:vAlign w:val="center"/>
          </w:tcPr>
          <w:p w14:paraId="088A0919" w14:textId="58CDE672" w:rsidR="289EE394" w:rsidRDefault="289EE394" w:rsidP="289EE394">
            <w:pPr>
              <w:spacing w:after="0"/>
              <w:jc w:val="right"/>
              <w:rPr>
                <w:rFonts w:eastAsiaTheme="minorEastAsia"/>
                <w:color w:val="000000" w:themeColor="text1"/>
                <w:sz w:val="18"/>
                <w:szCs w:val="18"/>
              </w:rPr>
            </w:pPr>
            <w:r w:rsidRPr="289EE394">
              <w:rPr>
                <w:rFonts w:eastAsiaTheme="minorEastAsia"/>
                <w:color w:val="000000" w:themeColor="text1"/>
                <w:sz w:val="18"/>
                <w:szCs w:val="18"/>
              </w:rPr>
              <w:t>117.487.146.028</w:t>
            </w:r>
          </w:p>
        </w:tc>
      </w:tr>
      <w:tr w:rsidR="289EE394" w14:paraId="79A252D6" w14:textId="77777777" w:rsidTr="289EE394">
        <w:trPr>
          <w:trHeight w:val="315"/>
        </w:trPr>
        <w:tc>
          <w:tcPr>
            <w:tcW w:w="1625" w:type="dxa"/>
            <w:shd w:val="clear" w:color="auto" w:fill="BDD7EE"/>
            <w:tcMar>
              <w:top w:w="15" w:type="dxa"/>
              <w:left w:w="15" w:type="dxa"/>
              <w:right w:w="15" w:type="dxa"/>
            </w:tcMar>
            <w:vAlign w:val="center"/>
          </w:tcPr>
          <w:p w14:paraId="5439B3BE" w14:textId="0FB83927" w:rsidR="289EE394" w:rsidRDefault="289EE394" w:rsidP="289EE394">
            <w:pPr>
              <w:spacing w:after="0"/>
              <w:jc w:val="left"/>
              <w:rPr>
                <w:rFonts w:eastAsiaTheme="minorEastAsia"/>
                <w:color w:val="000000" w:themeColor="text1"/>
                <w:sz w:val="18"/>
                <w:szCs w:val="18"/>
              </w:rPr>
            </w:pPr>
            <w:r w:rsidRPr="289EE394">
              <w:rPr>
                <w:rFonts w:eastAsiaTheme="minorEastAsia"/>
                <w:b/>
                <w:bCs/>
                <w:color w:val="000000" w:themeColor="text1"/>
                <w:sz w:val="18"/>
                <w:szCs w:val="18"/>
              </w:rPr>
              <w:t>Total 02 OBRA</w:t>
            </w:r>
            <w:r w:rsidRPr="289EE394">
              <w:rPr>
                <w:rFonts w:eastAsiaTheme="minorEastAsia"/>
                <w:color w:val="000000" w:themeColor="text1"/>
                <w:sz w:val="18"/>
                <w:szCs w:val="18"/>
              </w:rPr>
              <w:t xml:space="preserve"> </w:t>
            </w:r>
          </w:p>
        </w:tc>
        <w:tc>
          <w:tcPr>
            <w:tcW w:w="3238" w:type="dxa"/>
            <w:tcBorders>
              <w:top w:val="nil"/>
              <w:bottom w:val="nil"/>
              <w:right w:val="nil"/>
            </w:tcBorders>
            <w:shd w:val="clear" w:color="auto" w:fill="BDD7EE"/>
            <w:tcMar>
              <w:top w:w="15" w:type="dxa"/>
              <w:left w:w="15" w:type="dxa"/>
              <w:right w:w="15" w:type="dxa"/>
            </w:tcMar>
            <w:vAlign w:val="center"/>
          </w:tcPr>
          <w:p w14:paraId="62610F58" w14:textId="716E0E3C" w:rsidR="289EE394" w:rsidRDefault="289EE394" w:rsidP="289EE394">
            <w:pPr>
              <w:spacing w:after="0"/>
              <w:rPr>
                <w:rFonts w:eastAsiaTheme="minorEastAsia"/>
                <w:sz w:val="18"/>
                <w:szCs w:val="18"/>
              </w:rPr>
            </w:pPr>
            <w:r w:rsidRPr="289EE394">
              <w:rPr>
                <w:rFonts w:eastAsiaTheme="minorEastAsia"/>
                <w:sz w:val="18"/>
                <w:szCs w:val="18"/>
              </w:rPr>
              <w:t xml:space="preserve"> </w:t>
            </w:r>
          </w:p>
        </w:tc>
        <w:tc>
          <w:tcPr>
            <w:tcW w:w="1436" w:type="dxa"/>
            <w:tcBorders>
              <w:top w:val="nil"/>
              <w:left w:val="nil"/>
              <w:bottom w:val="nil"/>
              <w:right w:val="nil"/>
            </w:tcBorders>
            <w:shd w:val="clear" w:color="auto" w:fill="BDD7EE"/>
            <w:tcMar>
              <w:top w:w="15" w:type="dxa"/>
              <w:left w:w="15" w:type="dxa"/>
              <w:right w:w="15" w:type="dxa"/>
            </w:tcMar>
            <w:vAlign w:val="center"/>
          </w:tcPr>
          <w:p w14:paraId="447F44D7" w14:textId="508CBAA6" w:rsidR="289EE394" w:rsidRDefault="289EE394" w:rsidP="289EE394">
            <w:pPr>
              <w:spacing w:after="0"/>
              <w:jc w:val="center"/>
              <w:rPr>
                <w:rFonts w:eastAsiaTheme="minorEastAsia"/>
                <w:b/>
                <w:bCs/>
                <w:color w:val="000000" w:themeColor="text1"/>
                <w:sz w:val="18"/>
                <w:szCs w:val="18"/>
              </w:rPr>
            </w:pPr>
            <w:r w:rsidRPr="289EE394">
              <w:rPr>
                <w:rFonts w:eastAsiaTheme="minorEastAsia"/>
                <w:b/>
                <w:bCs/>
                <w:color w:val="000000" w:themeColor="text1"/>
                <w:sz w:val="18"/>
                <w:szCs w:val="18"/>
              </w:rPr>
              <w:t>26</w:t>
            </w:r>
          </w:p>
        </w:tc>
        <w:tc>
          <w:tcPr>
            <w:tcW w:w="3250" w:type="dxa"/>
            <w:tcBorders>
              <w:top w:val="nil"/>
              <w:left w:val="nil"/>
              <w:bottom w:val="nil"/>
              <w:right w:val="nil"/>
            </w:tcBorders>
            <w:shd w:val="clear" w:color="auto" w:fill="BDD7EE"/>
            <w:tcMar>
              <w:top w:w="15" w:type="dxa"/>
              <w:left w:w="15" w:type="dxa"/>
              <w:right w:w="15" w:type="dxa"/>
            </w:tcMar>
            <w:vAlign w:val="center"/>
          </w:tcPr>
          <w:p w14:paraId="21701089" w14:textId="5AB35FF9" w:rsidR="289EE394" w:rsidRDefault="289EE394" w:rsidP="289EE394">
            <w:pPr>
              <w:spacing w:after="0"/>
              <w:jc w:val="right"/>
              <w:rPr>
                <w:rFonts w:eastAsiaTheme="minorEastAsia"/>
                <w:b/>
                <w:bCs/>
                <w:color w:val="000000" w:themeColor="text1"/>
                <w:sz w:val="18"/>
                <w:szCs w:val="18"/>
              </w:rPr>
            </w:pPr>
            <w:r w:rsidRPr="289EE394">
              <w:rPr>
                <w:rFonts w:eastAsiaTheme="minorEastAsia"/>
                <w:b/>
                <w:bCs/>
                <w:color w:val="000000" w:themeColor="text1"/>
                <w:sz w:val="18"/>
                <w:szCs w:val="18"/>
              </w:rPr>
              <w:t>117.487.146.028</w:t>
            </w:r>
          </w:p>
        </w:tc>
      </w:tr>
      <w:tr w:rsidR="289EE394" w14:paraId="0DCDBA55" w14:textId="77777777" w:rsidTr="289EE394">
        <w:trPr>
          <w:trHeight w:val="495"/>
        </w:trPr>
        <w:tc>
          <w:tcPr>
            <w:tcW w:w="1625" w:type="dxa"/>
            <w:tcBorders>
              <w:top w:val="single" w:sz="8" w:space="0" w:color="2F75B5"/>
              <w:left w:val="nil"/>
              <w:bottom w:val="single" w:sz="8" w:space="0" w:color="2F75B5"/>
              <w:right w:val="nil"/>
            </w:tcBorders>
            <w:tcMar>
              <w:top w:w="15" w:type="dxa"/>
              <w:left w:w="15" w:type="dxa"/>
              <w:right w:w="15" w:type="dxa"/>
            </w:tcMar>
            <w:vAlign w:val="center"/>
          </w:tcPr>
          <w:p w14:paraId="2C9AED80" w14:textId="26ABDAC1" w:rsidR="289EE394" w:rsidRDefault="289EE394" w:rsidP="289EE394">
            <w:pPr>
              <w:spacing w:after="0"/>
              <w:jc w:val="left"/>
              <w:rPr>
                <w:rFonts w:eastAsiaTheme="minorEastAsia"/>
                <w:color w:val="000000" w:themeColor="text1"/>
                <w:sz w:val="18"/>
                <w:szCs w:val="18"/>
              </w:rPr>
            </w:pPr>
            <w:r w:rsidRPr="289EE394">
              <w:rPr>
                <w:rFonts w:eastAsiaTheme="minorEastAsia"/>
                <w:b/>
                <w:bCs/>
                <w:color w:val="000000" w:themeColor="text1"/>
                <w:sz w:val="18"/>
                <w:szCs w:val="18"/>
              </w:rPr>
              <w:lastRenderedPageBreak/>
              <w:t>Total general</w:t>
            </w:r>
            <w:r w:rsidRPr="289EE394">
              <w:rPr>
                <w:rFonts w:eastAsiaTheme="minorEastAsia"/>
                <w:color w:val="000000" w:themeColor="text1"/>
                <w:sz w:val="18"/>
                <w:szCs w:val="18"/>
              </w:rPr>
              <w:t xml:space="preserve"> </w:t>
            </w:r>
          </w:p>
        </w:tc>
        <w:tc>
          <w:tcPr>
            <w:tcW w:w="3238" w:type="dxa"/>
            <w:tcBorders>
              <w:top w:val="single" w:sz="8" w:space="0" w:color="2F75B5"/>
              <w:left w:val="nil"/>
              <w:bottom w:val="single" w:sz="8" w:space="0" w:color="2F75B5"/>
              <w:right w:val="nil"/>
            </w:tcBorders>
            <w:tcMar>
              <w:top w:w="15" w:type="dxa"/>
              <w:left w:w="15" w:type="dxa"/>
              <w:right w:w="15" w:type="dxa"/>
            </w:tcMar>
            <w:vAlign w:val="center"/>
          </w:tcPr>
          <w:p w14:paraId="25134ACA" w14:textId="1AA7D2FA" w:rsidR="289EE394" w:rsidRDefault="289EE394" w:rsidP="289EE394">
            <w:pPr>
              <w:spacing w:after="0"/>
              <w:rPr>
                <w:rFonts w:eastAsiaTheme="minorEastAsia"/>
                <w:sz w:val="18"/>
                <w:szCs w:val="18"/>
              </w:rPr>
            </w:pPr>
            <w:r w:rsidRPr="289EE394">
              <w:rPr>
                <w:rFonts w:eastAsiaTheme="minorEastAsia"/>
                <w:sz w:val="18"/>
                <w:szCs w:val="18"/>
              </w:rPr>
              <w:t xml:space="preserve"> </w:t>
            </w:r>
          </w:p>
        </w:tc>
        <w:tc>
          <w:tcPr>
            <w:tcW w:w="1436" w:type="dxa"/>
            <w:tcBorders>
              <w:top w:val="single" w:sz="8" w:space="0" w:color="2F75B5"/>
              <w:left w:val="nil"/>
              <w:bottom w:val="single" w:sz="8" w:space="0" w:color="2F75B5"/>
              <w:right w:val="nil"/>
            </w:tcBorders>
            <w:tcMar>
              <w:top w:w="15" w:type="dxa"/>
              <w:left w:w="15" w:type="dxa"/>
              <w:right w:w="15" w:type="dxa"/>
            </w:tcMar>
            <w:vAlign w:val="center"/>
          </w:tcPr>
          <w:p w14:paraId="2D3EC7F4" w14:textId="0A00917E" w:rsidR="289EE394" w:rsidRDefault="289EE394" w:rsidP="289EE394">
            <w:pPr>
              <w:spacing w:after="0"/>
              <w:jc w:val="center"/>
              <w:rPr>
                <w:rFonts w:eastAsiaTheme="minorEastAsia"/>
                <w:b/>
                <w:bCs/>
                <w:color w:val="000000" w:themeColor="text1"/>
                <w:sz w:val="18"/>
                <w:szCs w:val="18"/>
              </w:rPr>
            </w:pPr>
            <w:r w:rsidRPr="289EE394">
              <w:rPr>
                <w:rFonts w:eastAsiaTheme="minorEastAsia"/>
                <w:b/>
                <w:bCs/>
                <w:color w:val="000000" w:themeColor="text1"/>
                <w:sz w:val="18"/>
                <w:szCs w:val="18"/>
              </w:rPr>
              <w:t>36</w:t>
            </w:r>
          </w:p>
        </w:tc>
        <w:tc>
          <w:tcPr>
            <w:tcW w:w="3250" w:type="dxa"/>
            <w:tcBorders>
              <w:top w:val="single" w:sz="8" w:space="0" w:color="2F75B5"/>
              <w:left w:val="nil"/>
              <w:bottom w:val="single" w:sz="8" w:space="0" w:color="2F75B5"/>
              <w:right w:val="nil"/>
            </w:tcBorders>
            <w:tcMar>
              <w:top w:w="15" w:type="dxa"/>
              <w:left w:w="15" w:type="dxa"/>
              <w:right w:w="15" w:type="dxa"/>
            </w:tcMar>
            <w:vAlign w:val="center"/>
          </w:tcPr>
          <w:p w14:paraId="6B8E2279" w14:textId="219E7032" w:rsidR="289EE394" w:rsidRDefault="289EE394" w:rsidP="289EE394">
            <w:pPr>
              <w:spacing w:after="0"/>
              <w:jc w:val="right"/>
              <w:rPr>
                <w:rFonts w:eastAsiaTheme="minorEastAsia"/>
                <w:b/>
                <w:bCs/>
                <w:color w:val="000000" w:themeColor="text1"/>
                <w:sz w:val="18"/>
                <w:szCs w:val="18"/>
              </w:rPr>
            </w:pPr>
            <w:r w:rsidRPr="289EE394">
              <w:rPr>
                <w:rFonts w:eastAsiaTheme="minorEastAsia"/>
                <w:b/>
                <w:bCs/>
                <w:color w:val="000000" w:themeColor="text1"/>
                <w:sz w:val="18"/>
                <w:szCs w:val="18"/>
              </w:rPr>
              <w:t>119.321.754.453</w:t>
            </w:r>
          </w:p>
        </w:tc>
      </w:tr>
    </w:tbl>
    <w:p w14:paraId="25B1A472" w14:textId="2B2122A7" w:rsidR="289EE394" w:rsidRDefault="289EE394" w:rsidP="289EE394">
      <w:pPr>
        <w:shd w:val="clear" w:color="auto" w:fill="FFFFFF" w:themeFill="background1"/>
        <w:rPr>
          <w:rFonts w:ascii="Arial" w:eastAsia="Arial" w:hAnsi="Arial" w:cs="Arial"/>
          <w:color w:val="0A0A0A"/>
          <w:sz w:val="24"/>
          <w:szCs w:val="24"/>
        </w:rPr>
      </w:pPr>
    </w:p>
    <w:p w14:paraId="25DADA0E" w14:textId="6DFF63F8" w:rsidR="77217F78" w:rsidRDefault="77217F78" w:rsidP="289EE394">
      <w:pPr>
        <w:spacing w:after="0" w:line="240" w:lineRule="auto"/>
        <w:rPr>
          <w:rFonts w:ascii="Arial" w:eastAsia="Arial" w:hAnsi="Arial" w:cs="Arial"/>
          <w:color w:val="0A0A0A"/>
          <w:sz w:val="24"/>
          <w:szCs w:val="24"/>
        </w:rPr>
      </w:pPr>
      <w:r w:rsidRPr="289EE394">
        <w:rPr>
          <w:rFonts w:ascii="Arial" w:eastAsia="Arial" w:hAnsi="Arial" w:cs="Arial"/>
          <w:color w:val="0A0A0A"/>
          <w:sz w:val="24"/>
          <w:szCs w:val="24"/>
        </w:rPr>
        <w:t xml:space="preserve">El diagnóstico de la cartera de proyectos recibida en 2022 reveló un escenario de alta complejidad y riesgo, evidenciado por la existencia de 11 iniciativas con término anticipado de contrato (TAC) o en riesgo inminente de caer en esta condición. Esta situación crítica no solo significaba la paralización total de obras de seguridad esenciales para la paz social, sino que también implicaba un entramado de desafíos legales, administrativos y financieros: desde litigios pendientes y el deterioro físico de lo ya construido hasta la incertidumbre presupuestaria debido al alza de insumos postpandemia.  </w:t>
      </w:r>
    </w:p>
    <w:p w14:paraId="43A09A0B" w14:textId="7DD3D5C7" w:rsidR="289EE394" w:rsidRDefault="289EE394" w:rsidP="289EE394">
      <w:pPr>
        <w:spacing w:after="0" w:line="240" w:lineRule="auto"/>
        <w:rPr>
          <w:rFonts w:ascii="Arial" w:eastAsia="Arial" w:hAnsi="Arial" w:cs="Arial"/>
          <w:b/>
          <w:bCs/>
          <w:sz w:val="24"/>
          <w:szCs w:val="24"/>
        </w:rPr>
      </w:pPr>
    </w:p>
    <w:p w14:paraId="7B901F1A" w14:textId="63355984" w:rsidR="4DBA21A9" w:rsidRDefault="4DBA21A9">
      <w:r>
        <w:br w:type="page"/>
      </w:r>
    </w:p>
    <w:p w14:paraId="475AC578" w14:textId="31EC526E" w:rsidR="4DBA21A9" w:rsidRDefault="4DBA21A9" w:rsidP="4DBA21A9">
      <w:pPr>
        <w:spacing w:after="0" w:line="240" w:lineRule="auto"/>
        <w:rPr>
          <w:rFonts w:ascii="Arial" w:eastAsia="Arial" w:hAnsi="Arial" w:cs="Arial"/>
          <w:b/>
          <w:bCs/>
          <w:sz w:val="24"/>
          <w:szCs w:val="24"/>
        </w:rPr>
      </w:pPr>
    </w:p>
    <w:p w14:paraId="0E7AB160" w14:textId="05EC051A" w:rsidR="000A349A" w:rsidRPr="007A6156" w:rsidRDefault="00A52E22" w:rsidP="001B4265">
      <w:pPr>
        <w:pStyle w:val="Ttulo1"/>
        <w:rPr>
          <w:rFonts w:ascii="Arial" w:hAnsi="Arial" w:cs="Arial"/>
          <w:color w:val="002060"/>
        </w:rPr>
      </w:pPr>
      <w:bookmarkStart w:id="2" w:name="_Toc213772492"/>
      <w:r w:rsidRPr="007A6156">
        <w:rPr>
          <w:rFonts w:ascii="Arial" w:hAnsi="Arial" w:cs="Arial"/>
          <w:color w:val="002060"/>
        </w:rPr>
        <w:t>Avances durante el Gobierno (2022-2026)</w:t>
      </w:r>
      <w:bookmarkEnd w:id="2"/>
    </w:p>
    <w:p w14:paraId="521AED6F" w14:textId="77777777" w:rsidR="001B4265" w:rsidRPr="00AC1CD4" w:rsidRDefault="001B4265" w:rsidP="001B4265">
      <w:pPr>
        <w:rPr>
          <w:rFonts w:ascii="Arial" w:hAnsi="Arial" w:cs="Arial"/>
          <w:bCs/>
        </w:rPr>
      </w:pPr>
    </w:p>
    <w:p w14:paraId="32FF8264" w14:textId="525CA19A" w:rsidR="001B4265" w:rsidRDefault="55E7D29C" w:rsidP="289EE394">
      <w:pPr>
        <w:spacing w:after="0" w:line="240" w:lineRule="auto"/>
        <w:rPr>
          <w:rFonts w:ascii="Arial" w:eastAsia="Arial" w:hAnsi="Arial" w:cs="Arial"/>
          <w:color w:val="0A0A0A"/>
          <w:sz w:val="24"/>
          <w:szCs w:val="24"/>
        </w:rPr>
      </w:pPr>
      <w:r w:rsidRPr="289EE394">
        <w:rPr>
          <w:rFonts w:ascii="Arial" w:eastAsia="Arial" w:hAnsi="Arial" w:cs="Arial"/>
          <w:color w:val="0A0A0A"/>
          <w:sz w:val="24"/>
          <w:szCs w:val="24"/>
        </w:rPr>
        <w:t>Durante el periodo</w:t>
      </w:r>
      <w:r w:rsidR="006B2F1F">
        <w:rPr>
          <w:rFonts w:ascii="Arial" w:eastAsia="Arial" w:hAnsi="Arial" w:cs="Arial"/>
          <w:color w:val="0A0A0A"/>
          <w:sz w:val="24"/>
          <w:szCs w:val="24"/>
        </w:rPr>
        <w:t xml:space="preserve"> de Gobierno del Presidente Gab</w:t>
      </w:r>
      <w:r w:rsidR="00DF3AA7">
        <w:rPr>
          <w:rFonts w:ascii="Arial" w:eastAsia="Arial" w:hAnsi="Arial" w:cs="Arial"/>
          <w:color w:val="0A0A0A"/>
          <w:sz w:val="24"/>
          <w:szCs w:val="24"/>
        </w:rPr>
        <w:t>riel Boric</w:t>
      </w:r>
      <w:r w:rsidRPr="289EE394">
        <w:rPr>
          <w:rFonts w:ascii="Arial" w:eastAsia="Arial" w:hAnsi="Arial" w:cs="Arial"/>
          <w:color w:val="0A0A0A"/>
          <w:sz w:val="24"/>
          <w:szCs w:val="24"/>
        </w:rPr>
        <w:t xml:space="preserve"> 2022-2026, se estableció e implementó una mesa de trabajo interinstitucional con el propósito de agilizar procesos, establecer compromisos y dar seguimiento a los mismos. Esta mesa estuvo integrada por representantes de los gabinetes de</w:t>
      </w:r>
      <w:r w:rsidR="0868F6C8" w:rsidRPr="289EE394">
        <w:rPr>
          <w:rFonts w:ascii="Arial" w:eastAsia="Arial" w:hAnsi="Arial" w:cs="Arial"/>
          <w:color w:val="0A0A0A"/>
          <w:sz w:val="24"/>
          <w:szCs w:val="24"/>
        </w:rPr>
        <w:t>l Ministerio</w:t>
      </w:r>
      <w:r w:rsidRPr="289EE394">
        <w:rPr>
          <w:rFonts w:ascii="Arial" w:eastAsia="Arial" w:hAnsi="Arial" w:cs="Arial"/>
          <w:color w:val="0A0A0A"/>
          <w:sz w:val="24"/>
          <w:szCs w:val="24"/>
        </w:rPr>
        <w:t xml:space="preserve"> de Obras Públicas, la Dirección Nacional de Arquitectura del MOP, el Departamento de Inversiones de la División de Gestión y Modernización de las Policías del Ministerio del Interior y Seguridad Pública,</w:t>
      </w:r>
      <w:r w:rsidR="77DAE75E" w:rsidRPr="289EE394">
        <w:rPr>
          <w:rFonts w:ascii="Arial" w:eastAsia="Arial" w:hAnsi="Arial" w:cs="Arial"/>
          <w:color w:val="0A0A0A"/>
          <w:sz w:val="24"/>
          <w:szCs w:val="24"/>
        </w:rPr>
        <w:t xml:space="preserve"> actual Ministerio de Seguridad Publica,</w:t>
      </w:r>
      <w:r w:rsidRPr="289EE394">
        <w:rPr>
          <w:rFonts w:ascii="Arial" w:eastAsia="Arial" w:hAnsi="Arial" w:cs="Arial"/>
          <w:color w:val="0A0A0A"/>
          <w:sz w:val="24"/>
          <w:szCs w:val="24"/>
        </w:rPr>
        <w:t xml:space="preserve"> la División de Evaluación Social de Inversiones del Ministerio de Desarrollo Social y Familia, Carabineros de Chile y la Policía de Investigaciones de Chile.</w:t>
      </w:r>
      <w:r w:rsidR="24E52D10" w:rsidRPr="289EE394">
        <w:rPr>
          <w:rFonts w:ascii="Arial" w:eastAsia="Arial" w:hAnsi="Arial" w:cs="Arial"/>
          <w:color w:val="0A0A0A"/>
          <w:sz w:val="24"/>
          <w:szCs w:val="24"/>
        </w:rPr>
        <w:t xml:space="preserve"> </w:t>
      </w:r>
    </w:p>
    <w:p w14:paraId="100622F8" w14:textId="77777777" w:rsidR="00697D16" w:rsidRPr="007A6156" w:rsidRDefault="00697D16" w:rsidP="289EE394">
      <w:pPr>
        <w:spacing w:after="0" w:line="240" w:lineRule="auto"/>
        <w:rPr>
          <w:rFonts w:ascii="Arial" w:eastAsia="Arial" w:hAnsi="Arial" w:cs="Arial"/>
          <w:color w:val="0A0A0A"/>
          <w:sz w:val="24"/>
          <w:szCs w:val="24"/>
        </w:rPr>
      </w:pPr>
    </w:p>
    <w:p w14:paraId="3B575E49" w14:textId="6B0D420E" w:rsidR="001B4265" w:rsidRPr="007A6156" w:rsidRDefault="55E7D29C" w:rsidP="289EE394">
      <w:pPr>
        <w:shd w:val="clear" w:color="auto" w:fill="FFFFFF" w:themeFill="background1"/>
        <w:rPr>
          <w:rFonts w:ascii="Arial" w:eastAsia="Arial" w:hAnsi="Arial" w:cs="Arial"/>
          <w:color w:val="0A0A0A"/>
          <w:sz w:val="24"/>
          <w:szCs w:val="24"/>
        </w:rPr>
      </w:pPr>
      <w:r w:rsidRPr="289EE394">
        <w:rPr>
          <w:rFonts w:ascii="Arial" w:eastAsia="Arial" w:hAnsi="Arial" w:cs="Arial"/>
          <w:color w:val="0A0A0A"/>
          <w:sz w:val="24"/>
          <w:szCs w:val="24"/>
        </w:rPr>
        <w:t>Como resultado de las medidas adoptadas, se priorizó de manera consensuada una cartera de 99 iniciativas de inversión (44 diseños y 55 ejecuciones de obras civiles), con un monto de inversión estimado superior a los 389 mil millones de pesos, destinadas a las policías y a la unidad de pasos fronterizos, en distintas etapas de gestión. El objetivo de este proceso fue realizar un seguimiento exhaustivo del cumplimiento de hitos y la resolución de nudos críticos para asegurar el éxito de los proyectos. La creación de esta medida permitió ordenar, priorizar y enfocar los recursos humanos y financieros, en post de un objetivo común, generando compromisos y agilizando la gestión.</w:t>
      </w:r>
    </w:p>
    <w:p w14:paraId="06886544" w14:textId="26185D6B" w:rsidR="001B4265" w:rsidRPr="00697D16" w:rsidRDefault="6B218F66" w:rsidP="289EE394">
      <w:pPr>
        <w:shd w:val="clear" w:color="auto" w:fill="FFFFFF" w:themeFill="background1"/>
        <w:rPr>
          <w:rFonts w:ascii="Arial" w:eastAsia="Arial" w:hAnsi="Arial" w:cs="Arial"/>
          <w:color w:val="0A0A0A"/>
          <w:sz w:val="24"/>
          <w:szCs w:val="24"/>
        </w:rPr>
      </w:pPr>
      <w:r w:rsidRPr="00697D16">
        <w:rPr>
          <w:rFonts w:ascii="Arial" w:eastAsia="Arial" w:hAnsi="Arial" w:cs="Arial"/>
          <w:color w:val="0A0A0A"/>
          <w:sz w:val="24"/>
          <w:szCs w:val="24"/>
        </w:rPr>
        <w:t>Se implementó una medida de reajuste retroactivo para los contratos vigentes, lo que evitó la quiebra de empresas y aseguró la continuidad de diversas obras. Además, se priorizó la recontratación de proyectos abandonados debido a términos anticipados de contratos (TAC), logrando la reactivación de todas las obras de seguridad que se encontraban en esa situación o en riesgo de estarlo.</w:t>
      </w:r>
    </w:p>
    <w:p w14:paraId="65963B31" w14:textId="32EF7A2F" w:rsidR="001B4265" w:rsidRPr="00697D16" w:rsidRDefault="5CA52CA1" w:rsidP="289EE394">
      <w:pPr>
        <w:shd w:val="clear" w:color="auto" w:fill="FFFFFF" w:themeFill="background1"/>
        <w:rPr>
          <w:rFonts w:ascii="Arial" w:eastAsia="Arial" w:hAnsi="Arial" w:cs="Arial"/>
          <w:color w:val="0A0A0A"/>
          <w:sz w:val="24"/>
          <w:szCs w:val="24"/>
        </w:rPr>
      </w:pPr>
      <w:r w:rsidRPr="00697D16">
        <w:rPr>
          <w:rFonts w:ascii="Arial" w:eastAsia="Arial" w:hAnsi="Arial" w:cs="Arial"/>
          <w:color w:val="0A0A0A"/>
          <w:sz w:val="24"/>
          <w:szCs w:val="24"/>
        </w:rPr>
        <w:t>Las medidas y gestiones realizadas permitieron complementar los antecedentes técnicos, administrativos y financieros de 11 iniciativas de la cartera, obteniendo resultados concretos: a la fecha, 6 obras están terminadas, 4 se encuentran en ejecución y 1 está pendiente de licitación.</w:t>
      </w:r>
    </w:p>
    <w:p w14:paraId="122024A3" w14:textId="0488B907" w:rsidR="001B4265" w:rsidRPr="007A6156" w:rsidRDefault="001B4265" w:rsidP="289EE394">
      <w:pPr>
        <w:shd w:val="clear" w:color="auto" w:fill="FFFFFF" w:themeFill="background1"/>
        <w:rPr>
          <w:rFonts w:ascii="Arial" w:eastAsia="Arial" w:hAnsi="Arial" w:cs="Arial"/>
          <w:color w:val="0A0A0A"/>
          <w:sz w:val="24"/>
          <w:szCs w:val="24"/>
        </w:rPr>
      </w:pPr>
    </w:p>
    <w:p w14:paraId="5502E168" w14:textId="744A31C3" w:rsidR="001B4265" w:rsidRPr="007A6156" w:rsidRDefault="001B4265" w:rsidP="289EE394">
      <w:pPr>
        <w:shd w:val="clear" w:color="auto" w:fill="FFFFFF" w:themeFill="background1"/>
        <w:rPr>
          <w:rFonts w:ascii="Arial" w:eastAsia="Arial" w:hAnsi="Arial" w:cs="Arial"/>
          <w:color w:val="0A0A0A"/>
          <w:sz w:val="24"/>
          <w:szCs w:val="24"/>
        </w:rPr>
      </w:pPr>
    </w:p>
    <w:p w14:paraId="44F4A664" w14:textId="01341181" w:rsidR="001B4265" w:rsidRPr="007A6156" w:rsidRDefault="001B4265" w:rsidP="289EE394">
      <w:pPr>
        <w:shd w:val="clear" w:color="auto" w:fill="FFFFFF" w:themeFill="background1"/>
        <w:rPr>
          <w:rFonts w:ascii="Arial" w:eastAsia="Arial" w:hAnsi="Arial" w:cs="Arial"/>
          <w:color w:val="0A0A0A"/>
          <w:sz w:val="24"/>
          <w:szCs w:val="24"/>
        </w:rPr>
      </w:pPr>
    </w:p>
    <w:p w14:paraId="0ABB4009" w14:textId="5F2AAC96" w:rsidR="001B4265" w:rsidRPr="007A6156" w:rsidRDefault="001B4265" w:rsidP="289EE394">
      <w:pPr>
        <w:shd w:val="clear" w:color="auto" w:fill="FFFFFF" w:themeFill="background1"/>
        <w:rPr>
          <w:rFonts w:ascii="Arial" w:eastAsia="Arial" w:hAnsi="Arial" w:cs="Arial"/>
          <w:color w:val="0A0A0A"/>
          <w:sz w:val="24"/>
          <w:szCs w:val="24"/>
        </w:rPr>
      </w:pPr>
    </w:p>
    <w:p w14:paraId="64A0FE1B" w14:textId="55D6DBA3" w:rsidR="001B4265" w:rsidRPr="007A6156" w:rsidRDefault="001B4265" w:rsidP="4DBA21A9">
      <w:pPr>
        <w:shd w:val="clear" w:color="auto" w:fill="FFFFFF" w:themeFill="background1"/>
        <w:rPr>
          <w:rFonts w:ascii="Arial" w:eastAsia="Arial" w:hAnsi="Arial" w:cs="Arial"/>
          <w:color w:val="0A0A0A"/>
          <w:sz w:val="24"/>
          <w:szCs w:val="24"/>
        </w:rPr>
      </w:pPr>
    </w:p>
    <w:p w14:paraId="39644B10" w14:textId="44ECC276" w:rsidR="001B4265" w:rsidRPr="007A6156" w:rsidRDefault="00A52E22" w:rsidP="4DBA21A9">
      <w:r>
        <w:br w:type="page"/>
      </w:r>
    </w:p>
    <w:p w14:paraId="0080B270" w14:textId="60FD3F1D" w:rsidR="001B4265" w:rsidRPr="007A6156" w:rsidRDefault="55E7D29C" w:rsidP="289EE394">
      <w:pPr>
        <w:shd w:val="clear" w:color="auto" w:fill="FFFFFF" w:themeFill="background1"/>
        <w:rPr>
          <w:rFonts w:ascii="Arial" w:eastAsia="Arial" w:hAnsi="Arial" w:cs="Arial"/>
          <w:color w:val="0A0A0A"/>
          <w:sz w:val="24"/>
          <w:szCs w:val="24"/>
        </w:rPr>
      </w:pPr>
      <w:r w:rsidRPr="4DBA21A9">
        <w:rPr>
          <w:rFonts w:ascii="Arial" w:eastAsia="Arial" w:hAnsi="Arial" w:cs="Arial"/>
          <w:color w:val="0A0A0A"/>
          <w:sz w:val="24"/>
          <w:szCs w:val="24"/>
        </w:rPr>
        <w:t>Los compromisos adquiridos al cierre del periodo 2022-2026, desglosados por etapa y estado de los participantes de la mesa, se presentan a continuación:</w:t>
      </w:r>
    </w:p>
    <w:p w14:paraId="53B53CC3" w14:textId="22093CE6" w:rsidR="001B4265" w:rsidRPr="007A6156" w:rsidRDefault="55E7D29C" w:rsidP="289EE394">
      <w:pPr>
        <w:tabs>
          <w:tab w:val="left" w:pos="567"/>
          <w:tab w:val="left" w:pos="993"/>
          <w:tab w:val="left" w:pos="1134"/>
          <w:tab w:val="left" w:pos="2268"/>
        </w:tabs>
        <w:spacing w:after="0"/>
      </w:pPr>
      <w:r w:rsidRPr="289EE394">
        <w:rPr>
          <w:rFonts w:ascii="Calibri" w:eastAsia="Calibri" w:hAnsi="Calibri" w:cs="Calibri"/>
          <w:color w:val="242424"/>
        </w:rPr>
        <w:t xml:space="preserve"> </w:t>
      </w:r>
    </w:p>
    <w:tbl>
      <w:tblPr>
        <w:tblW w:w="0" w:type="auto"/>
        <w:tblLook w:val="04A0" w:firstRow="1" w:lastRow="0" w:firstColumn="1" w:lastColumn="0" w:noHBand="0" w:noVBand="1"/>
      </w:tblPr>
      <w:tblGrid>
        <w:gridCol w:w="2778"/>
        <w:gridCol w:w="2816"/>
        <w:gridCol w:w="1542"/>
        <w:gridCol w:w="2359"/>
      </w:tblGrid>
      <w:tr w:rsidR="289EE394" w14:paraId="2ACFBB3F" w14:textId="77777777" w:rsidTr="289EE394">
        <w:trPr>
          <w:trHeight w:val="390"/>
        </w:trPr>
        <w:tc>
          <w:tcPr>
            <w:tcW w:w="2835" w:type="dxa"/>
            <w:tcBorders>
              <w:top w:val="single" w:sz="8" w:space="0" w:color="2F75B5"/>
              <w:left w:val="nil"/>
              <w:bottom w:val="nil"/>
              <w:right w:val="nil"/>
            </w:tcBorders>
            <w:shd w:val="clear" w:color="auto" w:fill="5B9BD5" w:themeFill="accent1"/>
            <w:tcMar>
              <w:left w:w="70" w:type="dxa"/>
              <w:right w:w="70" w:type="dxa"/>
            </w:tcMar>
            <w:vAlign w:val="bottom"/>
          </w:tcPr>
          <w:p w14:paraId="626F4BA5" w14:textId="26939DF2" w:rsidR="289EE394" w:rsidRDefault="289EE394" w:rsidP="289EE394">
            <w:pPr>
              <w:spacing w:after="0"/>
              <w:rPr>
                <w:rFonts w:ascii="Calibri" w:eastAsia="Calibri" w:hAnsi="Calibri" w:cs="Calibri"/>
                <w:b/>
                <w:bCs/>
                <w:color w:val="FFFFFF" w:themeColor="background1"/>
                <w:sz w:val="18"/>
                <w:szCs w:val="18"/>
              </w:rPr>
            </w:pPr>
            <w:r w:rsidRPr="289EE394">
              <w:rPr>
                <w:rFonts w:ascii="Calibri" w:eastAsia="Calibri" w:hAnsi="Calibri" w:cs="Calibri"/>
                <w:b/>
                <w:bCs/>
                <w:color w:val="FFFFFF" w:themeColor="background1"/>
                <w:sz w:val="18"/>
                <w:szCs w:val="18"/>
              </w:rPr>
              <w:t>PROPUESTA AL TÉRMINO DE GOBIERNO - ETAPA</w:t>
            </w:r>
          </w:p>
        </w:tc>
        <w:tc>
          <w:tcPr>
            <w:tcW w:w="2875" w:type="dxa"/>
            <w:tcBorders>
              <w:top w:val="single" w:sz="8" w:space="0" w:color="2F75B5"/>
              <w:left w:val="nil"/>
              <w:bottom w:val="nil"/>
              <w:right w:val="nil"/>
            </w:tcBorders>
            <w:shd w:val="clear" w:color="auto" w:fill="5B9BD5" w:themeFill="accent1"/>
            <w:tcMar>
              <w:left w:w="70" w:type="dxa"/>
              <w:right w:w="70" w:type="dxa"/>
            </w:tcMar>
            <w:vAlign w:val="bottom"/>
          </w:tcPr>
          <w:p w14:paraId="5C6669C5" w14:textId="3E581C86" w:rsidR="289EE394" w:rsidRDefault="289EE394" w:rsidP="289EE394">
            <w:pPr>
              <w:spacing w:after="0"/>
              <w:rPr>
                <w:rFonts w:ascii="Calibri" w:eastAsia="Calibri" w:hAnsi="Calibri" w:cs="Calibri"/>
                <w:b/>
                <w:bCs/>
                <w:color w:val="FFFFFF" w:themeColor="background1"/>
                <w:sz w:val="18"/>
                <w:szCs w:val="18"/>
              </w:rPr>
            </w:pPr>
            <w:r w:rsidRPr="289EE394">
              <w:rPr>
                <w:rFonts w:ascii="Calibri" w:eastAsia="Calibri" w:hAnsi="Calibri" w:cs="Calibri"/>
                <w:b/>
                <w:bCs/>
                <w:color w:val="FFFFFF" w:themeColor="background1"/>
                <w:sz w:val="18"/>
                <w:szCs w:val="18"/>
              </w:rPr>
              <w:t>PROPUESTA AL TÉRMINO DE GOBIERNO - ESTADO</w:t>
            </w:r>
          </w:p>
        </w:tc>
        <w:tc>
          <w:tcPr>
            <w:tcW w:w="1559" w:type="dxa"/>
            <w:tcBorders>
              <w:top w:val="single" w:sz="8" w:space="0" w:color="2F75B5"/>
              <w:left w:val="nil"/>
              <w:bottom w:val="nil"/>
              <w:right w:val="nil"/>
            </w:tcBorders>
            <w:shd w:val="clear" w:color="auto" w:fill="5B9BD5" w:themeFill="accent1"/>
            <w:tcMar>
              <w:left w:w="70" w:type="dxa"/>
              <w:right w:w="70" w:type="dxa"/>
            </w:tcMar>
            <w:vAlign w:val="bottom"/>
          </w:tcPr>
          <w:p w14:paraId="1CFAEE9D" w14:textId="12537CEC" w:rsidR="289EE394" w:rsidRDefault="289EE394" w:rsidP="289EE394">
            <w:pPr>
              <w:spacing w:after="0"/>
              <w:rPr>
                <w:rFonts w:ascii="Calibri" w:eastAsia="Calibri" w:hAnsi="Calibri" w:cs="Calibri"/>
                <w:b/>
                <w:bCs/>
                <w:color w:val="FFFFFF" w:themeColor="background1"/>
                <w:sz w:val="18"/>
                <w:szCs w:val="18"/>
              </w:rPr>
            </w:pPr>
            <w:r w:rsidRPr="289EE394">
              <w:rPr>
                <w:rFonts w:ascii="Calibri" w:eastAsia="Calibri" w:hAnsi="Calibri" w:cs="Calibri"/>
                <w:b/>
                <w:bCs/>
                <w:color w:val="FFFFFF" w:themeColor="background1"/>
                <w:sz w:val="18"/>
                <w:szCs w:val="18"/>
              </w:rPr>
              <w:t>N° INICIATIVAS</w:t>
            </w:r>
          </w:p>
        </w:tc>
        <w:tc>
          <w:tcPr>
            <w:tcW w:w="2392" w:type="dxa"/>
            <w:tcBorders>
              <w:top w:val="single" w:sz="8" w:space="0" w:color="2F75B5"/>
              <w:left w:val="nil"/>
              <w:bottom w:val="nil"/>
              <w:right w:val="nil"/>
            </w:tcBorders>
            <w:shd w:val="clear" w:color="auto" w:fill="5B9BD5" w:themeFill="accent1"/>
            <w:tcMar>
              <w:left w:w="70" w:type="dxa"/>
              <w:right w:w="70" w:type="dxa"/>
            </w:tcMar>
            <w:vAlign w:val="bottom"/>
          </w:tcPr>
          <w:p w14:paraId="34159BC6" w14:textId="484D6E90" w:rsidR="289EE394" w:rsidRDefault="289EE394" w:rsidP="289EE394">
            <w:pPr>
              <w:spacing w:after="0"/>
              <w:jc w:val="right"/>
              <w:rPr>
                <w:rFonts w:ascii="Calibri" w:eastAsia="Calibri" w:hAnsi="Calibri" w:cs="Calibri"/>
                <w:b/>
                <w:bCs/>
                <w:color w:val="FFFFFF" w:themeColor="background1"/>
                <w:sz w:val="18"/>
                <w:szCs w:val="18"/>
              </w:rPr>
            </w:pPr>
            <w:r w:rsidRPr="289EE394">
              <w:rPr>
                <w:rFonts w:ascii="Calibri" w:eastAsia="Calibri" w:hAnsi="Calibri" w:cs="Calibri"/>
                <w:b/>
                <w:bCs/>
                <w:color w:val="FFFFFF" w:themeColor="background1"/>
                <w:sz w:val="18"/>
                <w:szCs w:val="18"/>
              </w:rPr>
              <w:t>MONTO VIGENTE</w:t>
            </w:r>
          </w:p>
        </w:tc>
      </w:tr>
      <w:tr w:rsidR="289EE394" w14:paraId="0472341A" w14:textId="77777777" w:rsidTr="289EE394">
        <w:trPr>
          <w:trHeight w:val="300"/>
        </w:trPr>
        <w:tc>
          <w:tcPr>
            <w:tcW w:w="2835" w:type="dxa"/>
            <w:shd w:val="clear" w:color="auto" w:fill="DDEBF7"/>
            <w:tcMar>
              <w:left w:w="70" w:type="dxa"/>
              <w:right w:w="70" w:type="dxa"/>
            </w:tcMar>
            <w:vAlign w:val="bottom"/>
          </w:tcPr>
          <w:p w14:paraId="0A395AC1" w14:textId="26C3343F" w:rsidR="289EE394" w:rsidRDefault="289EE394" w:rsidP="289EE394">
            <w:pPr>
              <w:spacing w:after="0"/>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01 DISEÑO</w:t>
            </w:r>
          </w:p>
        </w:tc>
        <w:tc>
          <w:tcPr>
            <w:tcW w:w="2875" w:type="dxa"/>
            <w:tcMar>
              <w:left w:w="70" w:type="dxa"/>
              <w:right w:w="70" w:type="dxa"/>
            </w:tcMar>
            <w:vAlign w:val="bottom"/>
          </w:tcPr>
          <w:p w14:paraId="4535AAC8" w14:textId="30064EA6" w:rsidR="289EE394" w:rsidRDefault="289EE394" w:rsidP="289EE394">
            <w:pPr>
              <w:spacing w:after="0"/>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01 DISEÑO EN LICITACIÓN</w:t>
            </w:r>
          </w:p>
        </w:tc>
        <w:tc>
          <w:tcPr>
            <w:tcW w:w="1559" w:type="dxa"/>
            <w:tcMar>
              <w:left w:w="70" w:type="dxa"/>
              <w:right w:w="70" w:type="dxa"/>
            </w:tcMar>
            <w:vAlign w:val="bottom"/>
          </w:tcPr>
          <w:p w14:paraId="0754256D" w14:textId="34E66A6C"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3</w:t>
            </w:r>
          </w:p>
        </w:tc>
        <w:tc>
          <w:tcPr>
            <w:tcW w:w="2392" w:type="dxa"/>
            <w:tcMar>
              <w:left w:w="70" w:type="dxa"/>
              <w:right w:w="70" w:type="dxa"/>
            </w:tcMar>
            <w:vAlign w:val="bottom"/>
          </w:tcPr>
          <w:p w14:paraId="68C8F9EB" w14:textId="437C96F6" w:rsidR="289EE394" w:rsidRDefault="289EE394" w:rsidP="289EE394">
            <w:pPr>
              <w:spacing w:after="0"/>
              <w:jc w:val="right"/>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505.387.000</w:t>
            </w:r>
          </w:p>
        </w:tc>
      </w:tr>
      <w:tr w:rsidR="289EE394" w14:paraId="099CC04F" w14:textId="77777777" w:rsidTr="289EE394">
        <w:trPr>
          <w:trHeight w:val="300"/>
        </w:trPr>
        <w:tc>
          <w:tcPr>
            <w:tcW w:w="2835" w:type="dxa"/>
            <w:shd w:val="clear" w:color="auto" w:fill="DDEBF7"/>
            <w:tcMar>
              <w:left w:w="70" w:type="dxa"/>
              <w:right w:w="70" w:type="dxa"/>
            </w:tcMar>
            <w:vAlign w:val="bottom"/>
          </w:tcPr>
          <w:p w14:paraId="5A4ED35C" w14:textId="75404EE0" w:rsidR="289EE394" w:rsidRDefault="289EE394" w:rsidP="289EE394">
            <w:pPr>
              <w:rPr>
                <w:sz w:val="18"/>
                <w:szCs w:val="18"/>
              </w:rPr>
            </w:pPr>
          </w:p>
        </w:tc>
        <w:tc>
          <w:tcPr>
            <w:tcW w:w="2875" w:type="dxa"/>
            <w:tcMar>
              <w:left w:w="70" w:type="dxa"/>
              <w:right w:w="70" w:type="dxa"/>
            </w:tcMar>
            <w:vAlign w:val="bottom"/>
          </w:tcPr>
          <w:p w14:paraId="60D042A1" w14:textId="32974797" w:rsidR="289EE394" w:rsidRDefault="289EE394" w:rsidP="289EE394">
            <w:pPr>
              <w:spacing w:after="0"/>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02 DISEÑO EN EJECUCIÓN</w:t>
            </w:r>
          </w:p>
        </w:tc>
        <w:tc>
          <w:tcPr>
            <w:tcW w:w="1559" w:type="dxa"/>
            <w:tcMar>
              <w:left w:w="70" w:type="dxa"/>
              <w:right w:w="70" w:type="dxa"/>
            </w:tcMar>
            <w:vAlign w:val="bottom"/>
          </w:tcPr>
          <w:p w14:paraId="17528FF4" w14:textId="61E0F632"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10</w:t>
            </w:r>
          </w:p>
        </w:tc>
        <w:tc>
          <w:tcPr>
            <w:tcW w:w="2392" w:type="dxa"/>
            <w:tcMar>
              <w:left w:w="70" w:type="dxa"/>
              <w:right w:w="70" w:type="dxa"/>
            </w:tcMar>
            <w:vAlign w:val="bottom"/>
          </w:tcPr>
          <w:p w14:paraId="7A735739" w14:textId="4A907274" w:rsidR="289EE394" w:rsidRDefault="289EE394" w:rsidP="289EE394">
            <w:pPr>
              <w:spacing w:after="0"/>
              <w:jc w:val="right"/>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2.957.871.406</w:t>
            </w:r>
          </w:p>
        </w:tc>
      </w:tr>
      <w:tr w:rsidR="289EE394" w14:paraId="51942DB9" w14:textId="77777777" w:rsidTr="289EE394">
        <w:trPr>
          <w:trHeight w:val="405"/>
        </w:trPr>
        <w:tc>
          <w:tcPr>
            <w:tcW w:w="2835" w:type="dxa"/>
            <w:shd w:val="clear" w:color="auto" w:fill="DDEBF7"/>
            <w:tcMar>
              <w:left w:w="70" w:type="dxa"/>
              <w:right w:w="70" w:type="dxa"/>
            </w:tcMar>
            <w:vAlign w:val="bottom"/>
          </w:tcPr>
          <w:p w14:paraId="7C93CC41" w14:textId="05BF6FFF" w:rsidR="289EE394" w:rsidRDefault="289EE394" w:rsidP="289EE394">
            <w:pPr>
              <w:rPr>
                <w:sz w:val="18"/>
                <w:szCs w:val="18"/>
              </w:rPr>
            </w:pPr>
          </w:p>
        </w:tc>
        <w:tc>
          <w:tcPr>
            <w:tcW w:w="2875" w:type="dxa"/>
            <w:tcMar>
              <w:left w:w="70" w:type="dxa"/>
              <w:right w:w="70" w:type="dxa"/>
            </w:tcMar>
            <w:vAlign w:val="bottom"/>
          </w:tcPr>
          <w:p w14:paraId="1E573DCB" w14:textId="46C99C46" w:rsidR="289EE394" w:rsidRDefault="289EE394" w:rsidP="289EE394">
            <w:pPr>
              <w:spacing w:after="0"/>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03 DISEÑO TERMINADO</w:t>
            </w:r>
          </w:p>
        </w:tc>
        <w:tc>
          <w:tcPr>
            <w:tcW w:w="1559" w:type="dxa"/>
            <w:tcMar>
              <w:left w:w="70" w:type="dxa"/>
              <w:right w:w="70" w:type="dxa"/>
            </w:tcMar>
            <w:vAlign w:val="bottom"/>
          </w:tcPr>
          <w:p w14:paraId="04768D8F" w14:textId="7C1FFE3A"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31</w:t>
            </w:r>
          </w:p>
        </w:tc>
        <w:tc>
          <w:tcPr>
            <w:tcW w:w="2392" w:type="dxa"/>
            <w:tcMar>
              <w:left w:w="70" w:type="dxa"/>
              <w:right w:w="70" w:type="dxa"/>
            </w:tcMar>
            <w:vAlign w:val="bottom"/>
          </w:tcPr>
          <w:p w14:paraId="27CE02DF" w14:textId="55F05764" w:rsidR="289EE394" w:rsidRDefault="289EE394" w:rsidP="289EE394">
            <w:pPr>
              <w:spacing w:after="0"/>
              <w:jc w:val="right"/>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6.669.724.692</w:t>
            </w:r>
          </w:p>
        </w:tc>
      </w:tr>
      <w:tr w:rsidR="289EE394" w14:paraId="3010FAD0" w14:textId="77777777" w:rsidTr="289EE394">
        <w:trPr>
          <w:trHeight w:val="60"/>
        </w:trPr>
        <w:tc>
          <w:tcPr>
            <w:tcW w:w="2835" w:type="dxa"/>
            <w:shd w:val="clear" w:color="auto" w:fill="BDD7EE"/>
            <w:tcMar>
              <w:left w:w="70" w:type="dxa"/>
              <w:right w:w="70" w:type="dxa"/>
            </w:tcMar>
            <w:vAlign w:val="bottom"/>
          </w:tcPr>
          <w:p w14:paraId="61611F82" w14:textId="6AC234E3" w:rsidR="289EE394" w:rsidRDefault="289EE394" w:rsidP="289EE394">
            <w:pPr>
              <w:spacing w:after="0"/>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Total 01 DISEÑO</w:t>
            </w:r>
          </w:p>
        </w:tc>
        <w:tc>
          <w:tcPr>
            <w:tcW w:w="2875" w:type="dxa"/>
            <w:shd w:val="clear" w:color="auto" w:fill="BDD7EE"/>
            <w:tcMar>
              <w:left w:w="70" w:type="dxa"/>
              <w:right w:w="70" w:type="dxa"/>
            </w:tcMar>
            <w:vAlign w:val="bottom"/>
          </w:tcPr>
          <w:p w14:paraId="63423E80" w14:textId="6A69C7CE" w:rsidR="289EE394" w:rsidRDefault="289EE394" w:rsidP="289EE394">
            <w:pPr>
              <w:rPr>
                <w:sz w:val="18"/>
                <w:szCs w:val="18"/>
              </w:rPr>
            </w:pPr>
          </w:p>
        </w:tc>
        <w:tc>
          <w:tcPr>
            <w:tcW w:w="1559" w:type="dxa"/>
            <w:shd w:val="clear" w:color="auto" w:fill="BDD7EE"/>
            <w:tcMar>
              <w:left w:w="70" w:type="dxa"/>
              <w:right w:w="70" w:type="dxa"/>
            </w:tcMar>
            <w:vAlign w:val="bottom"/>
          </w:tcPr>
          <w:p w14:paraId="72CF3701" w14:textId="27B10024" w:rsidR="289EE394" w:rsidRDefault="289EE394" w:rsidP="289EE394">
            <w:pPr>
              <w:spacing w:after="0"/>
              <w:jc w:val="center"/>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44</w:t>
            </w:r>
          </w:p>
        </w:tc>
        <w:tc>
          <w:tcPr>
            <w:tcW w:w="2392" w:type="dxa"/>
            <w:shd w:val="clear" w:color="auto" w:fill="BDD7EE"/>
            <w:tcMar>
              <w:left w:w="70" w:type="dxa"/>
              <w:right w:w="70" w:type="dxa"/>
            </w:tcMar>
            <w:vAlign w:val="bottom"/>
          </w:tcPr>
          <w:p w14:paraId="7CDE890B" w14:textId="34A4E0E3" w:rsidR="289EE394" w:rsidRDefault="289EE394" w:rsidP="289EE394">
            <w:pPr>
              <w:spacing w:after="0"/>
              <w:jc w:val="right"/>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10.132.983.098</w:t>
            </w:r>
          </w:p>
        </w:tc>
      </w:tr>
      <w:tr w:rsidR="289EE394" w14:paraId="5FBB157C" w14:textId="77777777" w:rsidTr="289EE394">
        <w:trPr>
          <w:trHeight w:val="45"/>
        </w:trPr>
        <w:tc>
          <w:tcPr>
            <w:tcW w:w="2835" w:type="dxa"/>
            <w:shd w:val="clear" w:color="auto" w:fill="DDEBF7"/>
            <w:tcMar>
              <w:left w:w="70" w:type="dxa"/>
              <w:right w:w="70" w:type="dxa"/>
            </w:tcMar>
            <w:vAlign w:val="bottom"/>
          </w:tcPr>
          <w:p w14:paraId="21E917CD" w14:textId="1E4D5AA3" w:rsidR="289EE394" w:rsidRDefault="289EE394" w:rsidP="289EE394">
            <w:pPr>
              <w:spacing w:after="0"/>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02 OBRA</w:t>
            </w:r>
          </w:p>
        </w:tc>
        <w:tc>
          <w:tcPr>
            <w:tcW w:w="2875" w:type="dxa"/>
            <w:tcMar>
              <w:left w:w="70" w:type="dxa"/>
              <w:right w:w="70" w:type="dxa"/>
            </w:tcMar>
            <w:vAlign w:val="bottom"/>
          </w:tcPr>
          <w:p w14:paraId="326EF295" w14:textId="351842BD" w:rsidR="289EE394" w:rsidRDefault="289EE394" w:rsidP="289EE394">
            <w:pPr>
              <w:spacing w:after="0"/>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04 OBRA EN LICITACIÓN</w:t>
            </w:r>
          </w:p>
        </w:tc>
        <w:tc>
          <w:tcPr>
            <w:tcW w:w="1559" w:type="dxa"/>
            <w:tcMar>
              <w:left w:w="70" w:type="dxa"/>
              <w:right w:w="70" w:type="dxa"/>
            </w:tcMar>
            <w:vAlign w:val="bottom"/>
          </w:tcPr>
          <w:p w14:paraId="5BEB7898" w14:textId="1EEDDC0F"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8</w:t>
            </w:r>
          </w:p>
        </w:tc>
        <w:tc>
          <w:tcPr>
            <w:tcW w:w="2392" w:type="dxa"/>
            <w:tcMar>
              <w:left w:w="70" w:type="dxa"/>
              <w:right w:w="70" w:type="dxa"/>
            </w:tcMar>
            <w:vAlign w:val="bottom"/>
          </w:tcPr>
          <w:p w14:paraId="68A0BCAB" w14:textId="6CF4CE29" w:rsidR="289EE394" w:rsidRDefault="289EE394" w:rsidP="289EE394">
            <w:pPr>
              <w:spacing w:after="0"/>
              <w:jc w:val="right"/>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74.398.805.547</w:t>
            </w:r>
          </w:p>
        </w:tc>
      </w:tr>
      <w:tr w:rsidR="289EE394" w14:paraId="30C108BF" w14:textId="77777777" w:rsidTr="289EE394">
        <w:trPr>
          <w:trHeight w:val="90"/>
        </w:trPr>
        <w:tc>
          <w:tcPr>
            <w:tcW w:w="2835" w:type="dxa"/>
            <w:shd w:val="clear" w:color="auto" w:fill="DDEBF7"/>
            <w:tcMar>
              <w:left w:w="70" w:type="dxa"/>
              <w:right w:w="70" w:type="dxa"/>
            </w:tcMar>
            <w:vAlign w:val="bottom"/>
          </w:tcPr>
          <w:p w14:paraId="565D73E8" w14:textId="791A9AFA" w:rsidR="289EE394" w:rsidRDefault="289EE394" w:rsidP="289EE394">
            <w:pPr>
              <w:rPr>
                <w:sz w:val="18"/>
                <w:szCs w:val="18"/>
              </w:rPr>
            </w:pPr>
          </w:p>
        </w:tc>
        <w:tc>
          <w:tcPr>
            <w:tcW w:w="2875" w:type="dxa"/>
            <w:tcMar>
              <w:left w:w="70" w:type="dxa"/>
              <w:right w:w="70" w:type="dxa"/>
            </w:tcMar>
            <w:vAlign w:val="bottom"/>
          </w:tcPr>
          <w:p w14:paraId="71F85B21" w14:textId="1E552DE6" w:rsidR="289EE394" w:rsidRDefault="289EE394" w:rsidP="289EE394">
            <w:pPr>
              <w:spacing w:after="0"/>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05 OBRA EN EJECUCIÓN</w:t>
            </w:r>
          </w:p>
        </w:tc>
        <w:tc>
          <w:tcPr>
            <w:tcW w:w="1559" w:type="dxa"/>
            <w:tcMar>
              <w:left w:w="70" w:type="dxa"/>
              <w:right w:w="70" w:type="dxa"/>
            </w:tcMar>
            <w:vAlign w:val="bottom"/>
          </w:tcPr>
          <w:p w14:paraId="3BEDC66B" w14:textId="79F4EE17"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23</w:t>
            </w:r>
          </w:p>
        </w:tc>
        <w:tc>
          <w:tcPr>
            <w:tcW w:w="2392" w:type="dxa"/>
            <w:tcMar>
              <w:left w:w="70" w:type="dxa"/>
              <w:right w:w="70" w:type="dxa"/>
            </w:tcMar>
            <w:vAlign w:val="bottom"/>
          </w:tcPr>
          <w:p w14:paraId="376B6C74" w14:textId="2B4A77C8" w:rsidR="289EE394" w:rsidRDefault="289EE394" w:rsidP="289EE394">
            <w:pPr>
              <w:spacing w:after="0"/>
              <w:jc w:val="right"/>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166.569.589.665</w:t>
            </w:r>
          </w:p>
        </w:tc>
      </w:tr>
      <w:tr w:rsidR="289EE394" w14:paraId="299D958E" w14:textId="77777777" w:rsidTr="289EE394">
        <w:trPr>
          <w:trHeight w:val="45"/>
        </w:trPr>
        <w:tc>
          <w:tcPr>
            <w:tcW w:w="2835" w:type="dxa"/>
            <w:shd w:val="clear" w:color="auto" w:fill="DDEBF7"/>
            <w:tcMar>
              <w:left w:w="70" w:type="dxa"/>
              <w:right w:w="70" w:type="dxa"/>
            </w:tcMar>
            <w:vAlign w:val="bottom"/>
          </w:tcPr>
          <w:p w14:paraId="232BE4AC" w14:textId="51A2D0A9" w:rsidR="289EE394" w:rsidRDefault="289EE394" w:rsidP="289EE394">
            <w:pPr>
              <w:rPr>
                <w:sz w:val="18"/>
                <w:szCs w:val="18"/>
              </w:rPr>
            </w:pPr>
          </w:p>
        </w:tc>
        <w:tc>
          <w:tcPr>
            <w:tcW w:w="2875" w:type="dxa"/>
            <w:tcMar>
              <w:left w:w="70" w:type="dxa"/>
              <w:right w:w="70" w:type="dxa"/>
            </w:tcMar>
            <w:vAlign w:val="bottom"/>
          </w:tcPr>
          <w:p w14:paraId="4DC7B29D" w14:textId="79F2ADDD" w:rsidR="289EE394" w:rsidRDefault="289EE394" w:rsidP="289EE394">
            <w:pPr>
              <w:spacing w:after="0"/>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06 OBRA TERMINADA</w:t>
            </w:r>
          </w:p>
        </w:tc>
        <w:tc>
          <w:tcPr>
            <w:tcW w:w="1559" w:type="dxa"/>
            <w:tcMar>
              <w:left w:w="70" w:type="dxa"/>
              <w:right w:w="70" w:type="dxa"/>
            </w:tcMar>
            <w:vAlign w:val="bottom"/>
          </w:tcPr>
          <w:p w14:paraId="6EEDC875" w14:textId="1941FA82"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24</w:t>
            </w:r>
          </w:p>
        </w:tc>
        <w:tc>
          <w:tcPr>
            <w:tcW w:w="2392" w:type="dxa"/>
            <w:tcMar>
              <w:left w:w="70" w:type="dxa"/>
              <w:right w:w="70" w:type="dxa"/>
            </w:tcMar>
            <w:vAlign w:val="bottom"/>
          </w:tcPr>
          <w:p w14:paraId="65B3D804" w14:textId="598C337B" w:rsidR="289EE394" w:rsidRDefault="289EE394" w:rsidP="289EE394">
            <w:pPr>
              <w:spacing w:after="0"/>
              <w:jc w:val="right"/>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137.915.174.508</w:t>
            </w:r>
          </w:p>
        </w:tc>
      </w:tr>
      <w:tr w:rsidR="289EE394" w14:paraId="7BD889C5" w14:textId="77777777" w:rsidTr="289EE394">
        <w:trPr>
          <w:trHeight w:val="300"/>
        </w:trPr>
        <w:tc>
          <w:tcPr>
            <w:tcW w:w="2835" w:type="dxa"/>
            <w:shd w:val="clear" w:color="auto" w:fill="BDD7EE"/>
            <w:tcMar>
              <w:left w:w="70" w:type="dxa"/>
              <w:right w:w="70" w:type="dxa"/>
            </w:tcMar>
            <w:vAlign w:val="bottom"/>
          </w:tcPr>
          <w:p w14:paraId="4F2A32E3" w14:textId="224210EA" w:rsidR="289EE394" w:rsidRDefault="289EE394" w:rsidP="289EE394">
            <w:pPr>
              <w:spacing w:after="0"/>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Total 02 OBRA</w:t>
            </w:r>
          </w:p>
        </w:tc>
        <w:tc>
          <w:tcPr>
            <w:tcW w:w="2875" w:type="dxa"/>
            <w:shd w:val="clear" w:color="auto" w:fill="BDD7EE"/>
            <w:tcMar>
              <w:left w:w="70" w:type="dxa"/>
              <w:right w:w="70" w:type="dxa"/>
            </w:tcMar>
            <w:vAlign w:val="bottom"/>
          </w:tcPr>
          <w:p w14:paraId="1FC21CB3" w14:textId="0E49E828" w:rsidR="289EE394" w:rsidRDefault="289EE394" w:rsidP="289EE394">
            <w:pPr>
              <w:rPr>
                <w:sz w:val="18"/>
                <w:szCs w:val="18"/>
              </w:rPr>
            </w:pPr>
          </w:p>
        </w:tc>
        <w:tc>
          <w:tcPr>
            <w:tcW w:w="1559" w:type="dxa"/>
            <w:shd w:val="clear" w:color="auto" w:fill="BDD7EE"/>
            <w:tcMar>
              <w:left w:w="70" w:type="dxa"/>
              <w:right w:w="70" w:type="dxa"/>
            </w:tcMar>
            <w:vAlign w:val="bottom"/>
          </w:tcPr>
          <w:p w14:paraId="0CB8C02B" w14:textId="48EB11B0" w:rsidR="289EE394" w:rsidRDefault="289EE394" w:rsidP="289EE394">
            <w:pPr>
              <w:spacing w:after="0"/>
              <w:jc w:val="center"/>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55</w:t>
            </w:r>
          </w:p>
        </w:tc>
        <w:tc>
          <w:tcPr>
            <w:tcW w:w="2392" w:type="dxa"/>
            <w:shd w:val="clear" w:color="auto" w:fill="BDD7EE"/>
            <w:tcMar>
              <w:left w:w="70" w:type="dxa"/>
              <w:right w:w="70" w:type="dxa"/>
            </w:tcMar>
            <w:vAlign w:val="bottom"/>
          </w:tcPr>
          <w:p w14:paraId="637743B9" w14:textId="571837C1" w:rsidR="289EE394" w:rsidRDefault="289EE394" w:rsidP="289EE394">
            <w:pPr>
              <w:spacing w:after="0"/>
              <w:jc w:val="right"/>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378.883.569.720</w:t>
            </w:r>
          </w:p>
        </w:tc>
      </w:tr>
      <w:tr w:rsidR="289EE394" w14:paraId="37043ECB" w14:textId="77777777" w:rsidTr="289EE394">
        <w:trPr>
          <w:trHeight w:val="300"/>
        </w:trPr>
        <w:tc>
          <w:tcPr>
            <w:tcW w:w="2835" w:type="dxa"/>
            <w:tcBorders>
              <w:top w:val="single" w:sz="8" w:space="0" w:color="2F75B5"/>
              <w:left w:val="nil"/>
              <w:bottom w:val="single" w:sz="8" w:space="0" w:color="2F75B5"/>
              <w:right w:val="nil"/>
            </w:tcBorders>
            <w:tcMar>
              <w:left w:w="70" w:type="dxa"/>
              <w:right w:w="70" w:type="dxa"/>
            </w:tcMar>
            <w:vAlign w:val="bottom"/>
          </w:tcPr>
          <w:p w14:paraId="459F5EAE" w14:textId="6F38ACE4" w:rsidR="289EE394" w:rsidRDefault="289EE394" w:rsidP="289EE394">
            <w:pPr>
              <w:spacing w:after="0"/>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Total general</w:t>
            </w:r>
          </w:p>
        </w:tc>
        <w:tc>
          <w:tcPr>
            <w:tcW w:w="2875" w:type="dxa"/>
            <w:tcBorders>
              <w:top w:val="single" w:sz="8" w:space="0" w:color="2F75B5"/>
              <w:left w:val="nil"/>
              <w:bottom w:val="single" w:sz="8" w:space="0" w:color="2F75B5"/>
              <w:right w:val="nil"/>
            </w:tcBorders>
            <w:tcMar>
              <w:left w:w="70" w:type="dxa"/>
              <w:right w:w="70" w:type="dxa"/>
            </w:tcMar>
            <w:vAlign w:val="bottom"/>
          </w:tcPr>
          <w:p w14:paraId="584D5A94" w14:textId="603321F9" w:rsidR="289EE394" w:rsidRDefault="289EE394" w:rsidP="289EE394">
            <w:pPr>
              <w:rPr>
                <w:sz w:val="18"/>
                <w:szCs w:val="18"/>
              </w:rPr>
            </w:pPr>
          </w:p>
        </w:tc>
        <w:tc>
          <w:tcPr>
            <w:tcW w:w="1559" w:type="dxa"/>
            <w:tcBorders>
              <w:top w:val="single" w:sz="8" w:space="0" w:color="2F75B5"/>
              <w:left w:val="nil"/>
              <w:bottom w:val="single" w:sz="8" w:space="0" w:color="2F75B5"/>
              <w:right w:val="nil"/>
            </w:tcBorders>
            <w:tcMar>
              <w:left w:w="70" w:type="dxa"/>
              <w:right w:w="70" w:type="dxa"/>
            </w:tcMar>
            <w:vAlign w:val="bottom"/>
          </w:tcPr>
          <w:p w14:paraId="603CD1ED" w14:textId="456C68D3" w:rsidR="289EE394" w:rsidRDefault="289EE394" w:rsidP="289EE394">
            <w:pPr>
              <w:spacing w:after="0"/>
              <w:jc w:val="center"/>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99</w:t>
            </w:r>
          </w:p>
        </w:tc>
        <w:tc>
          <w:tcPr>
            <w:tcW w:w="2392" w:type="dxa"/>
            <w:tcBorders>
              <w:top w:val="single" w:sz="8" w:space="0" w:color="2F75B5"/>
              <w:left w:val="nil"/>
              <w:bottom w:val="single" w:sz="8" w:space="0" w:color="2F75B5"/>
              <w:right w:val="nil"/>
            </w:tcBorders>
            <w:tcMar>
              <w:left w:w="70" w:type="dxa"/>
              <w:right w:w="70" w:type="dxa"/>
            </w:tcMar>
            <w:vAlign w:val="bottom"/>
          </w:tcPr>
          <w:p w14:paraId="6336BAAF" w14:textId="75E08044" w:rsidR="289EE394" w:rsidRDefault="289EE394" w:rsidP="289EE394">
            <w:pPr>
              <w:spacing w:after="0"/>
              <w:jc w:val="right"/>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389.016.552.818</w:t>
            </w:r>
          </w:p>
        </w:tc>
      </w:tr>
    </w:tbl>
    <w:p w14:paraId="1FD65A6D" w14:textId="3BBBBD5D" w:rsidR="001B4265" w:rsidRPr="007A6156" w:rsidRDefault="55E7D29C" w:rsidP="289EE394">
      <w:pPr>
        <w:tabs>
          <w:tab w:val="left" w:pos="567"/>
          <w:tab w:val="left" w:pos="993"/>
          <w:tab w:val="left" w:pos="1134"/>
          <w:tab w:val="left" w:pos="2268"/>
        </w:tabs>
        <w:spacing w:after="0"/>
      </w:pPr>
      <w:r w:rsidRPr="289EE394">
        <w:rPr>
          <w:rFonts w:ascii="Calibri" w:eastAsia="Calibri" w:hAnsi="Calibri" w:cs="Calibri"/>
          <w:color w:val="242424"/>
        </w:rPr>
        <w:t xml:space="preserve"> </w:t>
      </w:r>
    </w:p>
    <w:p w14:paraId="25084F1B" w14:textId="584E7BA6" w:rsidR="001B4265" w:rsidRPr="007A6156" w:rsidRDefault="55E7D29C" w:rsidP="289EE394">
      <w:pPr>
        <w:tabs>
          <w:tab w:val="left" w:pos="567"/>
          <w:tab w:val="left" w:pos="993"/>
          <w:tab w:val="left" w:pos="1134"/>
          <w:tab w:val="left" w:pos="2268"/>
        </w:tabs>
        <w:spacing w:after="0"/>
        <w:rPr>
          <w:rFonts w:ascii="Arial" w:eastAsia="Arial" w:hAnsi="Arial" w:cs="Arial"/>
          <w:color w:val="0A0A0A"/>
          <w:sz w:val="24"/>
          <w:szCs w:val="24"/>
        </w:rPr>
      </w:pPr>
      <w:r w:rsidRPr="289EE394">
        <w:rPr>
          <w:rFonts w:ascii="Arial" w:eastAsia="Arial" w:hAnsi="Arial" w:cs="Arial"/>
          <w:color w:val="0A0A0A"/>
          <w:sz w:val="24"/>
          <w:szCs w:val="24"/>
        </w:rPr>
        <w:t>Del avance general de los compromisos adquiridos, a noviembre 2026 el estado de situación de la cartera es el que se indica:</w:t>
      </w:r>
    </w:p>
    <w:p w14:paraId="75C3832D" w14:textId="6131B81D" w:rsidR="001B4265" w:rsidRPr="007A6156" w:rsidRDefault="55E7D29C" w:rsidP="289EE394">
      <w:pPr>
        <w:tabs>
          <w:tab w:val="left" w:pos="567"/>
          <w:tab w:val="left" w:pos="993"/>
          <w:tab w:val="left" w:pos="1134"/>
          <w:tab w:val="left" w:pos="2268"/>
        </w:tabs>
        <w:spacing w:after="0"/>
      </w:pPr>
      <w:r w:rsidRPr="289EE394">
        <w:rPr>
          <w:rFonts w:ascii="Calibri" w:eastAsia="Calibri" w:hAnsi="Calibri" w:cs="Calibri"/>
          <w:color w:val="242424"/>
        </w:rPr>
        <w:t xml:space="preserve"> </w:t>
      </w:r>
    </w:p>
    <w:tbl>
      <w:tblPr>
        <w:tblW w:w="0" w:type="auto"/>
        <w:tblLook w:val="04A0" w:firstRow="1" w:lastRow="0" w:firstColumn="1" w:lastColumn="0" w:noHBand="0" w:noVBand="1"/>
      </w:tblPr>
      <w:tblGrid>
        <w:gridCol w:w="1642"/>
        <w:gridCol w:w="1905"/>
        <w:gridCol w:w="1282"/>
        <w:gridCol w:w="1130"/>
        <w:gridCol w:w="1007"/>
        <w:gridCol w:w="1176"/>
        <w:gridCol w:w="1353"/>
      </w:tblGrid>
      <w:tr w:rsidR="289EE394" w14:paraId="26A665BE" w14:textId="77777777" w:rsidTr="289EE394">
        <w:trPr>
          <w:trHeight w:val="390"/>
        </w:trPr>
        <w:tc>
          <w:tcPr>
            <w:tcW w:w="1770" w:type="dxa"/>
            <w:tcBorders>
              <w:top w:val="single" w:sz="8" w:space="0" w:color="2F75B5"/>
              <w:left w:val="nil"/>
              <w:bottom w:val="nil"/>
              <w:right w:val="nil"/>
            </w:tcBorders>
            <w:shd w:val="clear" w:color="auto" w:fill="5B9BD5" w:themeFill="accent1"/>
            <w:tcMar>
              <w:left w:w="70" w:type="dxa"/>
              <w:right w:w="70" w:type="dxa"/>
            </w:tcMar>
            <w:vAlign w:val="bottom"/>
          </w:tcPr>
          <w:p w14:paraId="06099556" w14:textId="3D01B1A9" w:rsidR="289EE394" w:rsidRDefault="289EE394" w:rsidP="289EE394">
            <w:pPr>
              <w:spacing w:after="0"/>
              <w:rPr>
                <w:rFonts w:ascii="Calibri" w:eastAsia="Calibri" w:hAnsi="Calibri" w:cs="Calibri"/>
                <w:b/>
                <w:bCs/>
                <w:color w:val="FFFFFF" w:themeColor="background1"/>
                <w:sz w:val="18"/>
                <w:szCs w:val="18"/>
              </w:rPr>
            </w:pPr>
            <w:r w:rsidRPr="289EE394">
              <w:rPr>
                <w:rFonts w:ascii="Calibri" w:eastAsia="Calibri" w:hAnsi="Calibri" w:cs="Calibri"/>
                <w:b/>
                <w:bCs/>
                <w:color w:val="FFFFFF" w:themeColor="background1"/>
                <w:sz w:val="18"/>
                <w:szCs w:val="18"/>
              </w:rPr>
              <w:t>ETAPA DE LAS INICIATIVAS</w:t>
            </w:r>
          </w:p>
        </w:tc>
        <w:tc>
          <w:tcPr>
            <w:tcW w:w="2085" w:type="dxa"/>
            <w:tcBorders>
              <w:top w:val="single" w:sz="8" w:space="0" w:color="2F75B5"/>
              <w:left w:val="nil"/>
              <w:bottom w:val="nil"/>
              <w:right w:val="nil"/>
            </w:tcBorders>
            <w:shd w:val="clear" w:color="auto" w:fill="5B9BD5" w:themeFill="accent1"/>
            <w:tcMar>
              <w:left w:w="70" w:type="dxa"/>
              <w:right w:w="70" w:type="dxa"/>
            </w:tcMar>
            <w:vAlign w:val="bottom"/>
          </w:tcPr>
          <w:p w14:paraId="259E1C58" w14:textId="18566340" w:rsidR="289EE394" w:rsidRDefault="289EE394" w:rsidP="289EE394">
            <w:pPr>
              <w:spacing w:after="0"/>
              <w:rPr>
                <w:rFonts w:ascii="Calibri" w:eastAsia="Calibri" w:hAnsi="Calibri" w:cs="Calibri"/>
                <w:b/>
                <w:bCs/>
                <w:color w:val="FFFFFF" w:themeColor="background1"/>
                <w:sz w:val="18"/>
                <w:szCs w:val="18"/>
              </w:rPr>
            </w:pPr>
            <w:r w:rsidRPr="289EE394">
              <w:rPr>
                <w:rFonts w:ascii="Calibri" w:eastAsia="Calibri" w:hAnsi="Calibri" w:cs="Calibri"/>
                <w:b/>
                <w:bCs/>
                <w:color w:val="FFFFFF" w:themeColor="background1"/>
                <w:sz w:val="18"/>
                <w:szCs w:val="18"/>
              </w:rPr>
              <w:t>ESTADO AL TÉRMINO DE GOBIERNO</w:t>
            </w:r>
          </w:p>
        </w:tc>
        <w:tc>
          <w:tcPr>
            <w:tcW w:w="1290" w:type="dxa"/>
            <w:tcBorders>
              <w:top w:val="single" w:sz="8" w:space="0" w:color="2F75B5"/>
              <w:left w:val="nil"/>
              <w:bottom w:val="nil"/>
              <w:right w:val="nil"/>
            </w:tcBorders>
            <w:shd w:val="clear" w:color="auto" w:fill="5B9BD5" w:themeFill="accent1"/>
            <w:tcMar>
              <w:left w:w="70" w:type="dxa"/>
              <w:right w:w="70" w:type="dxa"/>
            </w:tcMar>
            <w:vAlign w:val="bottom"/>
          </w:tcPr>
          <w:p w14:paraId="2A334D12" w14:textId="32DDF34F" w:rsidR="289EE394" w:rsidRDefault="289EE394" w:rsidP="289EE394">
            <w:pPr>
              <w:spacing w:after="0"/>
              <w:rPr>
                <w:rFonts w:ascii="Calibri" w:eastAsia="Calibri" w:hAnsi="Calibri" w:cs="Calibri"/>
                <w:b/>
                <w:bCs/>
                <w:color w:val="FFFFFF" w:themeColor="background1"/>
                <w:sz w:val="18"/>
                <w:szCs w:val="18"/>
              </w:rPr>
            </w:pPr>
            <w:r w:rsidRPr="289EE394">
              <w:rPr>
                <w:rFonts w:ascii="Calibri" w:eastAsia="Calibri" w:hAnsi="Calibri" w:cs="Calibri"/>
                <w:b/>
                <w:bCs/>
                <w:color w:val="FFFFFF" w:themeColor="background1"/>
                <w:sz w:val="18"/>
                <w:szCs w:val="18"/>
              </w:rPr>
              <w:t>COMPROMISO (N° Iniciativas)</w:t>
            </w:r>
          </w:p>
        </w:tc>
        <w:tc>
          <w:tcPr>
            <w:tcW w:w="1170" w:type="dxa"/>
            <w:tcBorders>
              <w:top w:val="single" w:sz="8" w:space="0" w:color="2F75B5"/>
              <w:left w:val="nil"/>
              <w:bottom w:val="nil"/>
              <w:right w:val="nil"/>
            </w:tcBorders>
            <w:shd w:val="clear" w:color="auto" w:fill="5B9BD5" w:themeFill="accent1"/>
            <w:tcMar>
              <w:left w:w="70" w:type="dxa"/>
              <w:right w:w="70" w:type="dxa"/>
            </w:tcMar>
            <w:vAlign w:val="bottom"/>
          </w:tcPr>
          <w:p w14:paraId="48FB8040" w14:textId="52C9D383" w:rsidR="289EE394" w:rsidRDefault="289EE394" w:rsidP="289EE394">
            <w:pPr>
              <w:spacing w:after="0"/>
              <w:rPr>
                <w:rFonts w:ascii="Calibri" w:eastAsia="Calibri" w:hAnsi="Calibri" w:cs="Calibri"/>
                <w:b/>
                <w:bCs/>
                <w:color w:val="FFFFFF" w:themeColor="background1"/>
                <w:sz w:val="18"/>
                <w:szCs w:val="18"/>
              </w:rPr>
            </w:pPr>
            <w:r w:rsidRPr="289EE394">
              <w:rPr>
                <w:rFonts w:ascii="Calibri" w:eastAsia="Calibri" w:hAnsi="Calibri" w:cs="Calibri"/>
                <w:b/>
                <w:bCs/>
                <w:color w:val="FFFFFF" w:themeColor="background1"/>
                <w:sz w:val="18"/>
                <w:szCs w:val="18"/>
              </w:rPr>
              <w:t>AVANC</w:t>
            </w:r>
            <w:r w:rsidR="38C3C865" w:rsidRPr="289EE394">
              <w:rPr>
                <w:rFonts w:ascii="Calibri" w:eastAsia="Calibri" w:hAnsi="Calibri" w:cs="Calibri"/>
                <w:b/>
                <w:bCs/>
                <w:color w:val="FFFFFF" w:themeColor="background1"/>
                <w:sz w:val="18"/>
                <w:szCs w:val="18"/>
              </w:rPr>
              <w:t xml:space="preserve">E  </w:t>
            </w:r>
            <w:r w:rsidRPr="289EE394">
              <w:rPr>
                <w:rFonts w:ascii="Calibri" w:eastAsia="Calibri" w:hAnsi="Calibri" w:cs="Calibri"/>
                <w:b/>
                <w:bCs/>
                <w:color w:val="FFFFFF" w:themeColor="background1"/>
                <w:sz w:val="18"/>
                <w:szCs w:val="18"/>
              </w:rPr>
              <w:t>(N° Iniciativas)</w:t>
            </w:r>
          </w:p>
        </w:tc>
        <w:tc>
          <w:tcPr>
            <w:tcW w:w="1050" w:type="dxa"/>
            <w:tcBorders>
              <w:top w:val="single" w:sz="8" w:space="0" w:color="2F75B5"/>
              <w:left w:val="nil"/>
              <w:bottom w:val="nil"/>
              <w:right w:val="nil"/>
            </w:tcBorders>
            <w:shd w:val="clear" w:color="auto" w:fill="5B9BD5" w:themeFill="accent1"/>
            <w:tcMar>
              <w:left w:w="70" w:type="dxa"/>
              <w:right w:w="70" w:type="dxa"/>
            </w:tcMar>
            <w:vAlign w:val="bottom"/>
          </w:tcPr>
          <w:p w14:paraId="1D62FDBA" w14:textId="0A6DB15C" w:rsidR="289EE394" w:rsidRDefault="289EE394" w:rsidP="289EE394">
            <w:pPr>
              <w:spacing w:after="0"/>
              <w:rPr>
                <w:rFonts w:ascii="Calibri" w:eastAsia="Calibri" w:hAnsi="Calibri" w:cs="Calibri"/>
                <w:b/>
                <w:bCs/>
                <w:color w:val="FFFFFF" w:themeColor="background1"/>
                <w:sz w:val="18"/>
                <w:szCs w:val="18"/>
              </w:rPr>
            </w:pPr>
            <w:r w:rsidRPr="289EE394">
              <w:rPr>
                <w:rFonts w:ascii="Calibri" w:eastAsia="Calibri" w:hAnsi="Calibri" w:cs="Calibri"/>
                <w:b/>
                <w:bCs/>
                <w:color w:val="FFFFFF" w:themeColor="background1"/>
                <w:sz w:val="18"/>
                <w:szCs w:val="18"/>
              </w:rPr>
              <w:t>EN GESTIÓN</w:t>
            </w:r>
          </w:p>
        </w:tc>
        <w:tc>
          <w:tcPr>
            <w:tcW w:w="1185" w:type="dxa"/>
            <w:tcBorders>
              <w:top w:val="single" w:sz="8" w:space="0" w:color="2F75B5"/>
              <w:left w:val="nil"/>
              <w:bottom w:val="nil"/>
              <w:right w:val="nil"/>
            </w:tcBorders>
            <w:shd w:val="clear" w:color="auto" w:fill="5B9BD5" w:themeFill="accent1"/>
            <w:tcMar>
              <w:left w:w="70" w:type="dxa"/>
              <w:right w:w="70" w:type="dxa"/>
            </w:tcMar>
            <w:vAlign w:val="bottom"/>
          </w:tcPr>
          <w:p w14:paraId="3AAF3DAA" w14:textId="6F60E1C4" w:rsidR="289EE394" w:rsidRDefault="289EE394" w:rsidP="289EE394">
            <w:pPr>
              <w:spacing w:after="0"/>
              <w:rPr>
                <w:rFonts w:ascii="Calibri" w:eastAsia="Calibri" w:hAnsi="Calibri" w:cs="Calibri"/>
                <w:b/>
                <w:bCs/>
                <w:color w:val="FFFFFF" w:themeColor="background1"/>
                <w:sz w:val="18"/>
                <w:szCs w:val="18"/>
              </w:rPr>
            </w:pPr>
            <w:r w:rsidRPr="289EE394">
              <w:rPr>
                <w:rFonts w:ascii="Calibri" w:eastAsia="Calibri" w:hAnsi="Calibri" w:cs="Calibri"/>
                <w:b/>
                <w:bCs/>
                <w:color w:val="FFFFFF" w:themeColor="background1"/>
                <w:sz w:val="18"/>
                <w:szCs w:val="18"/>
              </w:rPr>
              <w:t>EN DESARROLLO</w:t>
            </w:r>
          </w:p>
        </w:tc>
        <w:tc>
          <w:tcPr>
            <w:tcW w:w="1335" w:type="dxa"/>
            <w:tcBorders>
              <w:top w:val="single" w:sz="8" w:space="0" w:color="2F75B5"/>
              <w:left w:val="nil"/>
              <w:bottom w:val="nil"/>
              <w:right w:val="nil"/>
            </w:tcBorders>
            <w:shd w:val="clear" w:color="auto" w:fill="5B9BD5" w:themeFill="accent1"/>
            <w:tcMar>
              <w:left w:w="70" w:type="dxa"/>
              <w:right w:w="70" w:type="dxa"/>
            </w:tcMar>
            <w:vAlign w:val="bottom"/>
          </w:tcPr>
          <w:p w14:paraId="3920B8E1" w14:textId="5752BE90" w:rsidR="289EE394" w:rsidRDefault="289EE394" w:rsidP="289EE394">
            <w:pPr>
              <w:spacing w:after="0"/>
              <w:rPr>
                <w:rFonts w:ascii="Calibri" w:eastAsia="Calibri" w:hAnsi="Calibri" w:cs="Calibri"/>
                <w:b/>
                <w:bCs/>
                <w:color w:val="FFFFFF" w:themeColor="background1"/>
                <w:sz w:val="18"/>
                <w:szCs w:val="18"/>
              </w:rPr>
            </w:pPr>
            <w:r w:rsidRPr="289EE394">
              <w:rPr>
                <w:rFonts w:ascii="Calibri" w:eastAsia="Calibri" w:hAnsi="Calibri" w:cs="Calibri"/>
                <w:b/>
                <w:bCs/>
                <w:color w:val="FFFFFF" w:themeColor="background1"/>
                <w:sz w:val="18"/>
                <w:szCs w:val="18"/>
              </w:rPr>
              <w:t xml:space="preserve">% DE CUMPLIMIENTO </w:t>
            </w:r>
          </w:p>
        </w:tc>
      </w:tr>
      <w:tr w:rsidR="289EE394" w14:paraId="71E3316D" w14:textId="77777777" w:rsidTr="289EE394">
        <w:trPr>
          <w:trHeight w:val="135"/>
        </w:trPr>
        <w:tc>
          <w:tcPr>
            <w:tcW w:w="1770" w:type="dxa"/>
            <w:shd w:val="clear" w:color="auto" w:fill="DDEBF7"/>
            <w:tcMar>
              <w:left w:w="70" w:type="dxa"/>
              <w:right w:w="70" w:type="dxa"/>
            </w:tcMar>
            <w:vAlign w:val="center"/>
          </w:tcPr>
          <w:p w14:paraId="6F64FD93" w14:textId="1AA14B01" w:rsidR="289EE394" w:rsidRDefault="289EE394" w:rsidP="289EE394">
            <w:pPr>
              <w:spacing w:after="0"/>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DISEÑO</w:t>
            </w:r>
          </w:p>
        </w:tc>
        <w:tc>
          <w:tcPr>
            <w:tcW w:w="2085" w:type="dxa"/>
            <w:shd w:val="clear" w:color="auto" w:fill="FFFFFF" w:themeFill="background1"/>
            <w:tcMar>
              <w:left w:w="70" w:type="dxa"/>
              <w:right w:w="70" w:type="dxa"/>
            </w:tcMar>
            <w:vAlign w:val="bottom"/>
          </w:tcPr>
          <w:p w14:paraId="1FF0D934" w14:textId="0DB1C378" w:rsidR="289EE394" w:rsidRDefault="289EE394" w:rsidP="289EE394">
            <w:pPr>
              <w:spacing w:after="0"/>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01 DISEÑO EN LICITACIÓN</w:t>
            </w:r>
          </w:p>
        </w:tc>
        <w:tc>
          <w:tcPr>
            <w:tcW w:w="1290" w:type="dxa"/>
            <w:shd w:val="clear" w:color="auto" w:fill="FFFFFF" w:themeFill="background1"/>
            <w:tcMar>
              <w:left w:w="70" w:type="dxa"/>
              <w:right w:w="70" w:type="dxa"/>
            </w:tcMar>
            <w:vAlign w:val="bottom"/>
          </w:tcPr>
          <w:p w14:paraId="2F9893B4" w14:textId="59D3C259"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3</w:t>
            </w:r>
          </w:p>
        </w:tc>
        <w:tc>
          <w:tcPr>
            <w:tcW w:w="1170" w:type="dxa"/>
            <w:shd w:val="clear" w:color="auto" w:fill="FFFFFF" w:themeFill="background1"/>
            <w:tcMar>
              <w:left w:w="70" w:type="dxa"/>
              <w:right w:w="70" w:type="dxa"/>
            </w:tcMar>
            <w:vAlign w:val="bottom"/>
          </w:tcPr>
          <w:p w14:paraId="2209390F" w14:textId="67CF538A"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2</w:t>
            </w:r>
          </w:p>
        </w:tc>
        <w:tc>
          <w:tcPr>
            <w:tcW w:w="1050" w:type="dxa"/>
            <w:shd w:val="clear" w:color="auto" w:fill="FFFFFF" w:themeFill="background1"/>
            <w:tcMar>
              <w:left w:w="70" w:type="dxa"/>
              <w:right w:w="70" w:type="dxa"/>
            </w:tcMar>
            <w:vAlign w:val="bottom"/>
          </w:tcPr>
          <w:p w14:paraId="11DC0609" w14:textId="2864BF97"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1</w:t>
            </w:r>
          </w:p>
        </w:tc>
        <w:tc>
          <w:tcPr>
            <w:tcW w:w="1185" w:type="dxa"/>
            <w:shd w:val="clear" w:color="auto" w:fill="FFFFFF" w:themeFill="background1"/>
            <w:tcMar>
              <w:left w:w="70" w:type="dxa"/>
              <w:right w:w="70" w:type="dxa"/>
            </w:tcMar>
            <w:vAlign w:val="bottom"/>
          </w:tcPr>
          <w:p w14:paraId="30C34077" w14:textId="123B5AC8"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0</w:t>
            </w:r>
          </w:p>
        </w:tc>
        <w:tc>
          <w:tcPr>
            <w:tcW w:w="1335" w:type="dxa"/>
            <w:shd w:val="clear" w:color="auto" w:fill="FFFFFF" w:themeFill="background1"/>
            <w:tcMar>
              <w:left w:w="70" w:type="dxa"/>
              <w:right w:w="70" w:type="dxa"/>
            </w:tcMar>
            <w:vAlign w:val="bottom"/>
          </w:tcPr>
          <w:p w14:paraId="0CF68DE8" w14:textId="7FC421E8"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66,7%</w:t>
            </w:r>
          </w:p>
        </w:tc>
      </w:tr>
      <w:tr w:rsidR="289EE394" w14:paraId="5B1E7318" w14:textId="77777777" w:rsidTr="289EE394">
        <w:trPr>
          <w:trHeight w:val="90"/>
        </w:trPr>
        <w:tc>
          <w:tcPr>
            <w:tcW w:w="1770" w:type="dxa"/>
            <w:shd w:val="clear" w:color="auto" w:fill="DDEBF7"/>
            <w:tcMar>
              <w:left w:w="70" w:type="dxa"/>
              <w:right w:w="70" w:type="dxa"/>
            </w:tcMar>
            <w:vAlign w:val="center"/>
          </w:tcPr>
          <w:p w14:paraId="17C550E2" w14:textId="5303D25A" w:rsidR="289EE394" w:rsidRDefault="289EE394" w:rsidP="289EE394">
            <w:pPr>
              <w:spacing w:after="0"/>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 xml:space="preserve"> </w:t>
            </w:r>
          </w:p>
        </w:tc>
        <w:tc>
          <w:tcPr>
            <w:tcW w:w="2085" w:type="dxa"/>
            <w:shd w:val="clear" w:color="auto" w:fill="FFFFFF" w:themeFill="background1"/>
            <w:tcMar>
              <w:left w:w="70" w:type="dxa"/>
              <w:right w:w="70" w:type="dxa"/>
            </w:tcMar>
            <w:vAlign w:val="bottom"/>
          </w:tcPr>
          <w:p w14:paraId="78BB1DDC" w14:textId="413697FF" w:rsidR="289EE394" w:rsidRDefault="289EE394" w:rsidP="289EE394">
            <w:pPr>
              <w:spacing w:after="0"/>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02 DISEÑO EN EJECUCIÓN</w:t>
            </w:r>
          </w:p>
        </w:tc>
        <w:tc>
          <w:tcPr>
            <w:tcW w:w="1290" w:type="dxa"/>
            <w:shd w:val="clear" w:color="auto" w:fill="FFFFFF" w:themeFill="background1"/>
            <w:tcMar>
              <w:left w:w="70" w:type="dxa"/>
              <w:right w:w="70" w:type="dxa"/>
            </w:tcMar>
            <w:vAlign w:val="bottom"/>
          </w:tcPr>
          <w:p w14:paraId="0AC64C71" w14:textId="6BC4EDBC"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10</w:t>
            </w:r>
          </w:p>
        </w:tc>
        <w:tc>
          <w:tcPr>
            <w:tcW w:w="1170" w:type="dxa"/>
            <w:shd w:val="clear" w:color="auto" w:fill="FFFFFF" w:themeFill="background1"/>
            <w:tcMar>
              <w:left w:w="70" w:type="dxa"/>
              <w:right w:w="70" w:type="dxa"/>
            </w:tcMar>
            <w:vAlign w:val="bottom"/>
          </w:tcPr>
          <w:p w14:paraId="1BB0EC1E" w14:textId="2B56BA9C"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8</w:t>
            </w:r>
          </w:p>
        </w:tc>
        <w:tc>
          <w:tcPr>
            <w:tcW w:w="1050" w:type="dxa"/>
            <w:shd w:val="clear" w:color="auto" w:fill="FFFFFF" w:themeFill="background1"/>
            <w:tcMar>
              <w:left w:w="70" w:type="dxa"/>
              <w:right w:w="70" w:type="dxa"/>
            </w:tcMar>
            <w:vAlign w:val="bottom"/>
          </w:tcPr>
          <w:p w14:paraId="62B83102" w14:textId="2230ACDA"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1</w:t>
            </w:r>
          </w:p>
        </w:tc>
        <w:tc>
          <w:tcPr>
            <w:tcW w:w="1185" w:type="dxa"/>
            <w:shd w:val="clear" w:color="auto" w:fill="FFFFFF" w:themeFill="background1"/>
            <w:tcMar>
              <w:left w:w="70" w:type="dxa"/>
              <w:right w:w="70" w:type="dxa"/>
            </w:tcMar>
            <w:vAlign w:val="bottom"/>
          </w:tcPr>
          <w:p w14:paraId="2B01CBD2" w14:textId="1FFA385E"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1</w:t>
            </w:r>
          </w:p>
        </w:tc>
        <w:tc>
          <w:tcPr>
            <w:tcW w:w="1335" w:type="dxa"/>
            <w:shd w:val="clear" w:color="auto" w:fill="FFFFFF" w:themeFill="background1"/>
            <w:tcMar>
              <w:left w:w="70" w:type="dxa"/>
              <w:right w:w="70" w:type="dxa"/>
            </w:tcMar>
            <w:vAlign w:val="bottom"/>
          </w:tcPr>
          <w:p w14:paraId="22DC96E1" w14:textId="480255C4"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80,0%</w:t>
            </w:r>
          </w:p>
        </w:tc>
      </w:tr>
      <w:tr w:rsidR="289EE394" w14:paraId="2FA1DD0B" w14:textId="77777777" w:rsidTr="289EE394">
        <w:trPr>
          <w:trHeight w:val="45"/>
        </w:trPr>
        <w:tc>
          <w:tcPr>
            <w:tcW w:w="1770" w:type="dxa"/>
            <w:shd w:val="clear" w:color="auto" w:fill="DDEBF7"/>
            <w:tcMar>
              <w:left w:w="70" w:type="dxa"/>
              <w:right w:w="70" w:type="dxa"/>
            </w:tcMar>
            <w:vAlign w:val="center"/>
          </w:tcPr>
          <w:p w14:paraId="2614E980" w14:textId="1630D2F1" w:rsidR="289EE394" w:rsidRDefault="289EE394" w:rsidP="289EE394">
            <w:pPr>
              <w:spacing w:after="0"/>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 xml:space="preserve"> </w:t>
            </w:r>
          </w:p>
        </w:tc>
        <w:tc>
          <w:tcPr>
            <w:tcW w:w="2085" w:type="dxa"/>
            <w:shd w:val="clear" w:color="auto" w:fill="FFFFFF" w:themeFill="background1"/>
            <w:tcMar>
              <w:left w:w="70" w:type="dxa"/>
              <w:right w:w="70" w:type="dxa"/>
            </w:tcMar>
            <w:vAlign w:val="bottom"/>
          </w:tcPr>
          <w:p w14:paraId="250958C0" w14:textId="73A30A32" w:rsidR="289EE394" w:rsidRDefault="289EE394" w:rsidP="289EE394">
            <w:pPr>
              <w:spacing w:after="0"/>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03 DISEÑO TERMINADO</w:t>
            </w:r>
          </w:p>
        </w:tc>
        <w:tc>
          <w:tcPr>
            <w:tcW w:w="1290" w:type="dxa"/>
            <w:shd w:val="clear" w:color="auto" w:fill="FFFFFF" w:themeFill="background1"/>
            <w:tcMar>
              <w:left w:w="70" w:type="dxa"/>
              <w:right w:w="70" w:type="dxa"/>
            </w:tcMar>
            <w:vAlign w:val="bottom"/>
          </w:tcPr>
          <w:p w14:paraId="4E904B83" w14:textId="323D40CA"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31</w:t>
            </w:r>
          </w:p>
        </w:tc>
        <w:tc>
          <w:tcPr>
            <w:tcW w:w="1170" w:type="dxa"/>
            <w:shd w:val="clear" w:color="auto" w:fill="FFFFFF" w:themeFill="background1"/>
            <w:tcMar>
              <w:left w:w="70" w:type="dxa"/>
              <w:right w:w="70" w:type="dxa"/>
            </w:tcMar>
            <w:vAlign w:val="bottom"/>
          </w:tcPr>
          <w:p w14:paraId="1EB44216" w14:textId="61CC2323"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30</w:t>
            </w:r>
          </w:p>
        </w:tc>
        <w:tc>
          <w:tcPr>
            <w:tcW w:w="1050" w:type="dxa"/>
            <w:shd w:val="clear" w:color="auto" w:fill="FFFFFF" w:themeFill="background1"/>
            <w:tcMar>
              <w:left w:w="70" w:type="dxa"/>
              <w:right w:w="70" w:type="dxa"/>
            </w:tcMar>
            <w:vAlign w:val="bottom"/>
          </w:tcPr>
          <w:p w14:paraId="1B8BC697" w14:textId="464B6627"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0</w:t>
            </w:r>
          </w:p>
        </w:tc>
        <w:tc>
          <w:tcPr>
            <w:tcW w:w="1185" w:type="dxa"/>
            <w:shd w:val="clear" w:color="auto" w:fill="FFFFFF" w:themeFill="background1"/>
            <w:tcMar>
              <w:left w:w="70" w:type="dxa"/>
              <w:right w:w="70" w:type="dxa"/>
            </w:tcMar>
            <w:vAlign w:val="bottom"/>
          </w:tcPr>
          <w:p w14:paraId="71D4E74B" w14:textId="072C0303"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1</w:t>
            </w:r>
          </w:p>
        </w:tc>
        <w:tc>
          <w:tcPr>
            <w:tcW w:w="1335" w:type="dxa"/>
            <w:shd w:val="clear" w:color="auto" w:fill="FFFFFF" w:themeFill="background1"/>
            <w:tcMar>
              <w:left w:w="70" w:type="dxa"/>
              <w:right w:w="70" w:type="dxa"/>
            </w:tcMar>
            <w:vAlign w:val="bottom"/>
          </w:tcPr>
          <w:p w14:paraId="6C1C7FE8" w14:textId="24B1EDB1"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96,8%</w:t>
            </w:r>
          </w:p>
        </w:tc>
      </w:tr>
      <w:tr w:rsidR="289EE394" w14:paraId="7243580E" w14:textId="77777777" w:rsidTr="289EE394">
        <w:trPr>
          <w:trHeight w:val="120"/>
        </w:trPr>
        <w:tc>
          <w:tcPr>
            <w:tcW w:w="1770" w:type="dxa"/>
            <w:shd w:val="clear" w:color="auto" w:fill="BDD7EE"/>
            <w:tcMar>
              <w:left w:w="70" w:type="dxa"/>
              <w:right w:w="70" w:type="dxa"/>
            </w:tcMar>
            <w:vAlign w:val="bottom"/>
          </w:tcPr>
          <w:p w14:paraId="359B4776" w14:textId="79005F27" w:rsidR="289EE394" w:rsidRDefault="289EE394" w:rsidP="289EE394">
            <w:pPr>
              <w:spacing w:after="0"/>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TOTAL DE DISEÑOS</w:t>
            </w:r>
          </w:p>
        </w:tc>
        <w:tc>
          <w:tcPr>
            <w:tcW w:w="2085" w:type="dxa"/>
            <w:shd w:val="clear" w:color="auto" w:fill="BDD7EE"/>
            <w:tcMar>
              <w:left w:w="70" w:type="dxa"/>
              <w:right w:w="70" w:type="dxa"/>
            </w:tcMar>
            <w:vAlign w:val="bottom"/>
          </w:tcPr>
          <w:p w14:paraId="55CDD68B" w14:textId="00D6FAAA" w:rsidR="289EE394" w:rsidRDefault="289EE394" w:rsidP="289EE394">
            <w:pPr>
              <w:spacing w:after="0"/>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 xml:space="preserve"> </w:t>
            </w:r>
          </w:p>
        </w:tc>
        <w:tc>
          <w:tcPr>
            <w:tcW w:w="1290" w:type="dxa"/>
            <w:shd w:val="clear" w:color="auto" w:fill="BDD7EE"/>
            <w:tcMar>
              <w:left w:w="70" w:type="dxa"/>
              <w:right w:w="70" w:type="dxa"/>
            </w:tcMar>
            <w:vAlign w:val="bottom"/>
          </w:tcPr>
          <w:p w14:paraId="27A18793" w14:textId="247CB4AA" w:rsidR="289EE394" w:rsidRDefault="289EE394" w:rsidP="289EE394">
            <w:pPr>
              <w:spacing w:after="0"/>
              <w:jc w:val="center"/>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44</w:t>
            </w:r>
          </w:p>
        </w:tc>
        <w:tc>
          <w:tcPr>
            <w:tcW w:w="1170" w:type="dxa"/>
            <w:shd w:val="clear" w:color="auto" w:fill="BDD7EE"/>
            <w:tcMar>
              <w:left w:w="70" w:type="dxa"/>
              <w:right w:w="70" w:type="dxa"/>
            </w:tcMar>
            <w:vAlign w:val="bottom"/>
          </w:tcPr>
          <w:p w14:paraId="17F0483C" w14:textId="218067D1" w:rsidR="289EE394" w:rsidRDefault="289EE394" w:rsidP="289EE394">
            <w:pPr>
              <w:spacing w:after="0"/>
              <w:jc w:val="center"/>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40</w:t>
            </w:r>
          </w:p>
        </w:tc>
        <w:tc>
          <w:tcPr>
            <w:tcW w:w="1050" w:type="dxa"/>
            <w:shd w:val="clear" w:color="auto" w:fill="BDD7EE"/>
            <w:tcMar>
              <w:left w:w="70" w:type="dxa"/>
              <w:right w:w="70" w:type="dxa"/>
            </w:tcMar>
            <w:vAlign w:val="bottom"/>
          </w:tcPr>
          <w:p w14:paraId="47006482" w14:textId="3CD8E060" w:rsidR="289EE394" w:rsidRDefault="289EE394" w:rsidP="289EE394">
            <w:pPr>
              <w:spacing w:after="0"/>
              <w:jc w:val="center"/>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2</w:t>
            </w:r>
          </w:p>
        </w:tc>
        <w:tc>
          <w:tcPr>
            <w:tcW w:w="1185" w:type="dxa"/>
            <w:shd w:val="clear" w:color="auto" w:fill="BDD7EE"/>
            <w:tcMar>
              <w:left w:w="70" w:type="dxa"/>
              <w:right w:w="70" w:type="dxa"/>
            </w:tcMar>
            <w:vAlign w:val="bottom"/>
          </w:tcPr>
          <w:p w14:paraId="3B6F5C45" w14:textId="69457F36" w:rsidR="289EE394" w:rsidRDefault="289EE394" w:rsidP="289EE394">
            <w:pPr>
              <w:spacing w:after="0"/>
              <w:jc w:val="center"/>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2</w:t>
            </w:r>
          </w:p>
        </w:tc>
        <w:tc>
          <w:tcPr>
            <w:tcW w:w="1335" w:type="dxa"/>
            <w:shd w:val="clear" w:color="auto" w:fill="BDD7EE"/>
            <w:tcMar>
              <w:left w:w="70" w:type="dxa"/>
              <w:right w:w="70" w:type="dxa"/>
            </w:tcMar>
            <w:vAlign w:val="bottom"/>
          </w:tcPr>
          <w:p w14:paraId="44AE157E" w14:textId="3D097F47" w:rsidR="289EE394" w:rsidRDefault="289EE394" w:rsidP="289EE394">
            <w:pPr>
              <w:spacing w:after="0"/>
              <w:jc w:val="center"/>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90,9%</w:t>
            </w:r>
          </w:p>
        </w:tc>
      </w:tr>
      <w:tr w:rsidR="289EE394" w14:paraId="56653C17" w14:textId="77777777" w:rsidTr="289EE394">
        <w:trPr>
          <w:trHeight w:val="210"/>
        </w:trPr>
        <w:tc>
          <w:tcPr>
            <w:tcW w:w="1770" w:type="dxa"/>
            <w:shd w:val="clear" w:color="auto" w:fill="DDEBF7"/>
            <w:tcMar>
              <w:left w:w="70" w:type="dxa"/>
              <w:right w:w="70" w:type="dxa"/>
            </w:tcMar>
            <w:vAlign w:val="center"/>
          </w:tcPr>
          <w:p w14:paraId="4A0D23F9" w14:textId="5A91152D" w:rsidR="289EE394" w:rsidRDefault="289EE394" w:rsidP="289EE394">
            <w:pPr>
              <w:spacing w:after="0"/>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OBRA</w:t>
            </w:r>
          </w:p>
        </w:tc>
        <w:tc>
          <w:tcPr>
            <w:tcW w:w="2085" w:type="dxa"/>
            <w:shd w:val="clear" w:color="auto" w:fill="FFFFFF" w:themeFill="background1"/>
            <w:tcMar>
              <w:left w:w="70" w:type="dxa"/>
              <w:right w:w="70" w:type="dxa"/>
            </w:tcMar>
            <w:vAlign w:val="bottom"/>
          </w:tcPr>
          <w:p w14:paraId="295CBBEB" w14:textId="17EE9D9B" w:rsidR="289EE394" w:rsidRDefault="289EE394" w:rsidP="289EE394">
            <w:pPr>
              <w:spacing w:after="0"/>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04 OBRA EN LICITACIÓN</w:t>
            </w:r>
          </w:p>
        </w:tc>
        <w:tc>
          <w:tcPr>
            <w:tcW w:w="1290" w:type="dxa"/>
            <w:shd w:val="clear" w:color="auto" w:fill="FFFFFF" w:themeFill="background1"/>
            <w:tcMar>
              <w:left w:w="70" w:type="dxa"/>
              <w:right w:w="70" w:type="dxa"/>
            </w:tcMar>
            <w:vAlign w:val="bottom"/>
          </w:tcPr>
          <w:p w14:paraId="4B0D79FC" w14:textId="2AA0EB29"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8</w:t>
            </w:r>
          </w:p>
        </w:tc>
        <w:tc>
          <w:tcPr>
            <w:tcW w:w="1170" w:type="dxa"/>
            <w:shd w:val="clear" w:color="auto" w:fill="FFFFFF" w:themeFill="background1"/>
            <w:tcMar>
              <w:left w:w="70" w:type="dxa"/>
              <w:right w:w="70" w:type="dxa"/>
            </w:tcMar>
            <w:vAlign w:val="bottom"/>
          </w:tcPr>
          <w:p w14:paraId="3A913088" w14:textId="6F54D05D"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1</w:t>
            </w:r>
          </w:p>
        </w:tc>
        <w:tc>
          <w:tcPr>
            <w:tcW w:w="1050" w:type="dxa"/>
            <w:shd w:val="clear" w:color="auto" w:fill="FFFFFF" w:themeFill="background1"/>
            <w:tcMar>
              <w:left w:w="70" w:type="dxa"/>
              <w:right w:w="70" w:type="dxa"/>
            </w:tcMar>
            <w:vAlign w:val="bottom"/>
          </w:tcPr>
          <w:p w14:paraId="1B777294" w14:textId="39F50ACA"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5</w:t>
            </w:r>
          </w:p>
        </w:tc>
        <w:tc>
          <w:tcPr>
            <w:tcW w:w="1185" w:type="dxa"/>
            <w:shd w:val="clear" w:color="auto" w:fill="FFFFFF" w:themeFill="background1"/>
            <w:tcMar>
              <w:left w:w="70" w:type="dxa"/>
              <w:right w:w="70" w:type="dxa"/>
            </w:tcMar>
            <w:vAlign w:val="bottom"/>
          </w:tcPr>
          <w:p w14:paraId="70A1DCC1" w14:textId="77BC79E5"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2</w:t>
            </w:r>
          </w:p>
        </w:tc>
        <w:tc>
          <w:tcPr>
            <w:tcW w:w="1335" w:type="dxa"/>
            <w:shd w:val="clear" w:color="auto" w:fill="FFFFFF" w:themeFill="background1"/>
            <w:tcMar>
              <w:left w:w="70" w:type="dxa"/>
              <w:right w:w="70" w:type="dxa"/>
            </w:tcMar>
            <w:vAlign w:val="bottom"/>
          </w:tcPr>
          <w:p w14:paraId="6622C367" w14:textId="3A583E6F"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12,5%</w:t>
            </w:r>
          </w:p>
        </w:tc>
      </w:tr>
      <w:tr w:rsidR="289EE394" w14:paraId="3ACD0D3E" w14:textId="77777777" w:rsidTr="289EE394">
        <w:trPr>
          <w:trHeight w:val="45"/>
        </w:trPr>
        <w:tc>
          <w:tcPr>
            <w:tcW w:w="1770" w:type="dxa"/>
            <w:shd w:val="clear" w:color="auto" w:fill="DDEBF7"/>
            <w:tcMar>
              <w:left w:w="70" w:type="dxa"/>
              <w:right w:w="70" w:type="dxa"/>
            </w:tcMar>
            <w:vAlign w:val="center"/>
          </w:tcPr>
          <w:p w14:paraId="10F29C82" w14:textId="6FC64D3E" w:rsidR="289EE394" w:rsidRDefault="289EE394" w:rsidP="289EE394">
            <w:pPr>
              <w:spacing w:after="0"/>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 xml:space="preserve"> </w:t>
            </w:r>
          </w:p>
        </w:tc>
        <w:tc>
          <w:tcPr>
            <w:tcW w:w="2085" w:type="dxa"/>
            <w:shd w:val="clear" w:color="auto" w:fill="FFFFFF" w:themeFill="background1"/>
            <w:tcMar>
              <w:left w:w="70" w:type="dxa"/>
              <w:right w:w="70" w:type="dxa"/>
            </w:tcMar>
            <w:vAlign w:val="bottom"/>
          </w:tcPr>
          <w:p w14:paraId="3F8F694D" w14:textId="3171B956" w:rsidR="289EE394" w:rsidRDefault="289EE394" w:rsidP="289EE394">
            <w:pPr>
              <w:spacing w:after="0"/>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05 OBRA EN EJECUCIÓN</w:t>
            </w:r>
          </w:p>
        </w:tc>
        <w:tc>
          <w:tcPr>
            <w:tcW w:w="1290" w:type="dxa"/>
            <w:shd w:val="clear" w:color="auto" w:fill="FFFFFF" w:themeFill="background1"/>
            <w:tcMar>
              <w:left w:w="70" w:type="dxa"/>
              <w:right w:w="70" w:type="dxa"/>
            </w:tcMar>
            <w:vAlign w:val="bottom"/>
          </w:tcPr>
          <w:p w14:paraId="65C19CA0" w14:textId="3315A4B9"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23</w:t>
            </w:r>
          </w:p>
        </w:tc>
        <w:tc>
          <w:tcPr>
            <w:tcW w:w="1170" w:type="dxa"/>
            <w:shd w:val="clear" w:color="auto" w:fill="FFFFFF" w:themeFill="background1"/>
            <w:tcMar>
              <w:left w:w="70" w:type="dxa"/>
              <w:right w:w="70" w:type="dxa"/>
            </w:tcMar>
            <w:vAlign w:val="bottom"/>
          </w:tcPr>
          <w:p w14:paraId="5A9A2FB2" w14:textId="7A887E40"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11</w:t>
            </w:r>
          </w:p>
        </w:tc>
        <w:tc>
          <w:tcPr>
            <w:tcW w:w="1050" w:type="dxa"/>
            <w:shd w:val="clear" w:color="auto" w:fill="FFFFFF" w:themeFill="background1"/>
            <w:tcMar>
              <w:left w:w="70" w:type="dxa"/>
              <w:right w:w="70" w:type="dxa"/>
            </w:tcMar>
            <w:vAlign w:val="bottom"/>
          </w:tcPr>
          <w:p w14:paraId="7B743375" w14:textId="5C5EE11F"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5</w:t>
            </w:r>
          </w:p>
        </w:tc>
        <w:tc>
          <w:tcPr>
            <w:tcW w:w="1185" w:type="dxa"/>
            <w:shd w:val="clear" w:color="auto" w:fill="FFFFFF" w:themeFill="background1"/>
            <w:tcMar>
              <w:left w:w="70" w:type="dxa"/>
              <w:right w:w="70" w:type="dxa"/>
            </w:tcMar>
            <w:vAlign w:val="bottom"/>
          </w:tcPr>
          <w:p w14:paraId="71AA6FF1" w14:textId="5F66FC6C"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7</w:t>
            </w:r>
          </w:p>
        </w:tc>
        <w:tc>
          <w:tcPr>
            <w:tcW w:w="1335" w:type="dxa"/>
            <w:shd w:val="clear" w:color="auto" w:fill="FFFFFF" w:themeFill="background1"/>
            <w:tcMar>
              <w:left w:w="70" w:type="dxa"/>
              <w:right w:w="70" w:type="dxa"/>
            </w:tcMar>
            <w:vAlign w:val="bottom"/>
          </w:tcPr>
          <w:p w14:paraId="0053E750" w14:textId="7F1BE571"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47,8%</w:t>
            </w:r>
          </w:p>
        </w:tc>
      </w:tr>
      <w:tr w:rsidR="289EE394" w14:paraId="6461F611" w14:textId="77777777" w:rsidTr="289EE394">
        <w:trPr>
          <w:trHeight w:val="300"/>
        </w:trPr>
        <w:tc>
          <w:tcPr>
            <w:tcW w:w="1770" w:type="dxa"/>
            <w:shd w:val="clear" w:color="auto" w:fill="DDEBF7"/>
            <w:tcMar>
              <w:left w:w="70" w:type="dxa"/>
              <w:right w:w="70" w:type="dxa"/>
            </w:tcMar>
            <w:vAlign w:val="center"/>
          </w:tcPr>
          <w:p w14:paraId="156E0AB3" w14:textId="2C80BE4D" w:rsidR="289EE394" w:rsidRDefault="289EE394" w:rsidP="289EE394">
            <w:pPr>
              <w:spacing w:after="0"/>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 xml:space="preserve"> </w:t>
            </w:r>
          </w:p>
        </w:tc>
        <w:tc>
          <w:tcPr>
            <w:tcW w:w="2085" w:type="dxa"/>
            <w:shd w:val="clear" w:color="auto" w:fill="FFFFFF" w:themeFill="background1"/>
            <w:tcMar>
              <w:left w:w="70" w:type="dxa"/>
              <w:right w:w="70" w:type="dxa"/>
            </w:tcMar>
            <w:vAlign w:val="bottom"/>
          </w:tcPr>
          <w:p w14:paraId="117BD8D5" w14:textId="4EC94B52" w:rsidR="289EE394" w:rsidRDefault="289EE394" w:rsidP="289EE394">
            <w:pPr>
              <w:spacing w:after="0"/>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06 OBRA TERMINADA</w:t>
            </w:r>
          </w:p>
        </w:tc>
        <w:tc>
          <w:tcPr>
            <w:tcW w:w="1290" w:type="dxa"/>
            <w:shd w:val="clear" w:color="auto" w:fill="FFFFFF" w:themeFill="background1"/>
            <w:tcMar>
              <w:left w:w="70" w:type="dxa"/>
              <w:right w:w="70" w:type="dxa"/>
            </w:tcMar>
            <w:vAlign w:val="bottom"/>
          </w:tcPr>
          <w:p w14:paraId="6F1DC90B" w14:textId="67DCFD46"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24</w:t>
            </w:r>
          </w:p>
        </w:tc>
        <w:tc>
          <w:tcPr>
            <w:tcW w:w="1170" w:type="dxa"/>
            <w:shd w:val="clear" w:color="auto" w:fill="FFFFFF" w:themeFill="background1"/>
            <w:tcMar>
              <w:left w:w="70" w:type="dxa"/>
              <w:right w:w="70" w:type="dxa"/>
            </w:tcMar>
            <w:vAlign w:val="bottom"/>
          </w:tcPr>
          <w:p w14:paraId="27BAE2A7" w14:textId="71A1AB5A"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20</w:t>
            </w:r>
          </w:p>
        </w:tc>
        <w:tc>
          <w:tcPr>
            <w:tcW w:w="1050" w:type="dxa"/>
            <w:shd w:val="clear" w:color="auto" w:fill="FFFFFF" w:themeFill="background1"/>
            <w:tcMar>
              <w:left w:w="70" w:type="dxa"/>
              <w:right w:w="70" w:type="dxa"/>
            </w:tcMar>
            <w:vAlign w:val="bottom"/>
          </w:tcPr>
          <w:p w14:paraId="14E91DA5" w14:textId="639A0EFF"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1</w:t>
            </w:r>
          </w:p>
        </w:tc>
        <w:tc>
          <w:tcPr>
            <w:tcW w:w="1185" w:type="dxa"/>
            <w:shd w:val="clear" w:color="auto" w:fill="FFFFFF" w:themeFill="background1"/>
            <w:tcMar>
              <w:left w:w="70" w:type="dxa"/>
              <w:right w:w="70" w:type="dxa"/>
            </w:tcMar>
            <w:vAlign w:val="bottom"/>
          </w:tcPr>
          <w:p w14:paraId="0CEC34E0" w14:textId="35CDE92B"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3</w:t>
            </w:r>
          </w:p>
        </w:tc>
        <w:tc>
          <w:tcPr>
            <w:tcW w:w="1335" w:type="dxa"/>
            <w:shd w:val="clear" w:color="auto" w:fill="FFFFFF" w:themeFill="background1"/>
            <w:tcMar>
              <w:left w:w="70" w:type="dxa"/>
              <w:right w:w="70" w:type="dxa"/>
            </w:tcMar>
            <w:vAlign w:val="bottom"/>
          </w:tcPr>
          <w:p w14:paraId="1DC6BF4D" w14:textId="0E4AD781" w:rsidR="289EE394" w:rsidRDefault="289EE394" w:rsidP="289EE394">
            <w:pPr>
              <w:spacing w:after="0"/>
              <w:jc w:val="center"/>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83,3%</w:t>
            </w:r>
          </w:p>
        </w:tc>
      </w:tr>
      <w:tr w:rsidR="289EE394" w14:paraId="48F9382D" w14:textId="77777777" w:rsidTr="289EE394">
        <w:trPr>
          <w:trHeight w:val="180"/>
        </w:trPr>
        <w:tc>
          <w:tcPr>
            <w:tcW w:w="1770" w:type="dxa"/>
            <w:shd w:val="clear" w:color="auto" w:fill="BDD7EE"/>
            <w:tcMar>
              <w:left w:w="70" w:type="dxa"/>
              <w:right w:w="70" w:type="dxa"/>
            </w:tcMar>
            <w:vAlign w:val="bottom"/>
          </w:tcPr>
          <w:p w14:paraId="75812EC6" w14:textId="2422A577" w:rsidR="289EE394" w:rsidRDefault="289EE394" w:rsidP="289EE394">
            <w:pPr>
              <w:spacing w:after="0"/>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TOTAL DE OBRAS</w:t>
            </w:r>
          </w:p>
        </w:tc>
        <w:tc>
          <w:tcPr>
            <w:tcW w:w="2085" w:type="dxa"/>
            <w:shd w:val="clear" w:color="auto" w:fill="BDD7EE"/>
            <w:tcMar>
              <w:left w:w="70" w:type="dxa"/>
              <w:right w:w="70" w:type="dxa"/>
            </w:tcMar>
            <w:vAlign w:val="bottom"/>
          </w:tcPr>
          <w:p w14:paraId="0EE76401" w14:textId="36AAC2A3" w:rsidR="289EE394" w:rsidRDefault="289EE394" w:rsidP="289EE394">
            <w:pPr>
              <w:spacing w:after="0"/>
              <w:rPr>
                <w:rFonts w:ascii="Calibri" w:eastAsia="Calibri" w:hAnsi="Calibri" w:cs="Calibri"/>
                <w:color w:val="000000" w:themeColor="text1"/>
                <w:sz w:val="18"/>
                <w:szCs w:val="18"/>
              </w:rPr>
            </w:pPr>
            <w:r w:rsidRPr="289EE394">
              <w:rPr>
                <w:rFonts w:ascii="Calibri" w:eastAsia="Calibri" w:hAnsi="Calibri" w:cs="Calibri"/>
                <w:color w:val="000000" w:themeColor="text1"/>
                <w:sz w:val="18"/>
                <w:szCs w:val="18"/>
              </w:rPr>
              <w:t xml:space="preserve"> </w:t>
            </w:r>
          </w:p>
        </w:tc>
        <w:tc>
          <w:tcPr>
            <w:tcW w:w="1290" w:type="dxa"/>
            <w:shd w:val="clear" w:color="auto" w:fill="BDD7EE"/>
            <w:tcMar>
              <w:left w:w="70" w:type="dxa"/>
              <w:right w:w="70" w:type="dxa"/>
            </w:tcMar>
            <w:vAlign w:val="bottom"/>
          </w:tcPr>
          <w:p w14:paraId="0C3722D0" w14:textId="2A16D155" w:rsidR="289EE394" w:rsidRDefault="289EE394" w:rsidP="289EE394">
            <w:pPr>
              <w:spacing w:after="0"/>
              <w:jc w:val="center"/>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55</w:t>
            </w:r>
          </w:p>
        </w:tc>
        <w:tc>
          <w:tcPr>
            <w:tcW w:w="1170" w:type="dxa"/>
            <w:shd w:val="clear" w:color="auto" w:fill="BDD7EE"/>
            <w:tcMar>
              <w:left w:w="70" w:type="dxa"/>
              <w:right w:w="70" w:type="dxa"/>
            </w:tcMar>
            <w:vAlign w:val="bottom"/>
          </w:tcPr>
          <w:p w14:paraId="299CCED3" w14:textId="02FF75DA" w:rsidR="289EE394" w:rsidRDefault="289EE394" w:rsidP="289EE394">
            <w:pPr>
              <w:spacing w:after="0"/>
              <w:jc w:val="center"/>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32</w:t>
            </w:r>
          </w:p>
        </w:tc>
        <w:tc>
          <w:tcPr>
            <w:tcW w:w="1050" w:type="dxa"/>
            <w:shd w:val="clear" w:color="auto" w:fill="BDD7EE"/>
            <w:tcMar>
              <w:left w:w="70" w:type="dxa"/>
              <w:right w:w="70" w:type="dxa"/>
            </w:tcMar>
            <w:vAlign w:val="bottom"/>
          </w:tcPr>
          <w:p w14:paraId="09743023" w14:textId="0AF4468C" w:rsidR="289EE394" w:rsidRDefault="289EE394" w:rsidP="289EE394">
            <w:pPr>
              <w:spacing w:after="0"/>
              <w:jc w:val="center"/>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11</w:t>
            </w:r>
          </w:p>
        </w:tc>
        <w:tc>
          <w:tcPr>
            <w:tcW w:w="1185" w:type="dxa"/>
            <w:shd w:val="clear" w:color="auto" w:fill="BDD7EE"/>
            <w:tcMar>
              <w:left w:w="70" w:type="dxa"/>
              <w:right w:w="70" w:type="dxa"/>
            </w:tcMar>
            <w:vAlign w:val="bottom"/>
          </w:tcPr>
          <w:p w14:paraId="77AFA4BC" w14:textId="511B7270" w:rsidR="289EE394" w:rsidRDefault="289EE394" w:rsidP="289EE394">
            <w:pPr>
              <w:spacing w:after="0"/>
              <w:jc w:val="center"/>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12</w:t>
            </w:r>
          </w:p>
        </w:tc>
        <w:tc>
          <w:tcPr>
            <w:tcW w:w="1335" w:type="dxa"/>
            <w:shd w:val="clear" w:color="auto" w:fill="BDD7EE"/>
            <w:tcMar>
              <w:left w:w="70" w:type="dxa"/>
              <w:right w:w="70" w:type="dxa"/>
            </w:tcMar>
            <w:vAlign w:val="bottom"/>
          </w:tcPr>
          <w:p w14:paraId="6C197E89" w14:textId="1CED5FB0" w:rsidR="289EE394" w:rsidRDefault="289EE394" w:rsidP="289EE394">
            <w:pPr>
              <w:spacing w:after="0"/>
              <w:jc w:val="center"/>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58,2%</w:t>
            </w:r>
          </w:p>
        </w:tc>
      </w:tr>
      <w:tr w:rsidR="289EE394" w14:paraId="659CDA92" w14:textId="77777777" w:rsidTr="289EE394">
        <w:trPr>
          <w:trHeight w:val="120"/>
        </w:trPr>
        <w:tc>
          <w:tcPr>
            <w:tcW w:w="1770" w:type="dxa"/>
            <w:tcBorders>
              <w:left w:val="nil"/>
              <w:bottom w:val="single" w:sz="12" w:space="0" w:color="2F75B5"/>
              <w:right w:val="nil"/>
            </w:tcBorders>
            <w:shd w:val="clear" w:color="auto" w:fill="FFFFFF" w:themeFill="background1"/>
            <w:tcMar>
              <w:left w:w="70" w:type="dxa"/>
              <w:right w:w="70" w:type="dxa"/>
            </w:tcMar>
            <w:vAlign w:val="bottom"/>
          </w:tcPr>
          <w:p w14:paraId="1A173B18" w14:textId="3C2587D7" w:rsidR="289EE394" w:rsidRDefault="289EE394" w:rsidP="289EE394">
            <w:pPr>
              <w:spacing w:after="0"/>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TOTAL GENERAL</w:t>
            </w:r>
          </w:p>
        </w:tc>
        <w:tc>
          <w:tcPr>
            <w:tcW w:w="2085" w:type="dxa"/>
            <w:tcBorders>
              <w:left w:val="nil"/>
              <w:bottom w:val="single" w:sz="12" w:space="0" w:color="2F75B5"/>
              <w:right w:val="nil"/>
            </w:tcBorders>
            <w:shd w:val="clear" w:color="auto" w:fill="FFFFFF" w:themeFill="background1"/>
            <w:tcMar>
              <w:left w:w="70" w:type="dxa"/>
              <w:right w:w="70" w:type="dxa"/>
            </w:tcMar>
            <w:vAlign w:val="bottom"/>
          </w:tcPr>
          <w:p w14:paraId="703A42EE" w14:textId="41C1B84D" w:rsidR="289EE394" w:rsidRDefault="289EE394" w:rsidP="289EE394">
            <w:pPr>
              <w:spacing w:after="0"/>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 xml:space="preserve"> </w:t>
            </w:r>
          </w:p>
        </w:tc>
        <w:tc>
          <w:tcPr>
            <w:tcW w:w="1290" w:type="dxa"/>
            <w:tcBorders>
              <w:left w:val="nil"/>
              <w:bottom w:val="single" w:sz="12" w:space="0" w:color="2F75B5"/>
              <w:right w:val="nil"/>
            </w:tcBorders>
            <w:shd w:val="clear" w:color="auto" w:fill="FFFFFF" w:themeFill="background1"/>
            <w:tcMar>
              <w:left w:w="70" w:type="dxa"/>
              <w:right w:w="70" w:type="dxa"/>
            </w:tcMar>
            <w:vAlign w:val="bottom"/>
          </w:tcPr>
          <w:p w14:paraId="4137B7EC" w14:textId="094D7109" w:rsidR="289EE394" w:rsidRDefault="289EE394" w:rsidP="289EE394">
            <w:pPr>
              <w:spacing w:after="0"/>
              <w:jc w:val="center"/>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99</w:t>
            </w:r>
          </w:p>
        </w:tc>
        <w:tc>
          <w:tcPr>
            <w:tcW w:w="1170" w:type="dxa"/>
            <w:tcBorders>
              <w:left w:val="nil"/>
              <w:bottom w:val="single" w:sz="12" w:space="0" w:color="2F75B5"/>
              <w:right w:val="nil"/>
            </w:tcBorders>
            <w:shd w:val="clear" w:color="auto" w:fill="FFFFFF" w:themeFill="background1"/>
            <w:tcMar>
              <w:left w:w="70" w:type="dxa"/>
              <w:right w:w="70" w:type="dxa"/>
            </w:tcMar>
            <w:vAlign w:val="bottom"/>
          </w:tcPr>
          <w:p w14:paraId="5C76FF3E" w14:textId="1D7BCD7C" w:rsidR="289EE394" w:rsidRDefault="289EE394" w:rsidP="289EE394">
            <w:pPr>
              <w:spacing w:after="0"/>
              <w:jc w:val="center"/>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72</w:t>
            </w:r>
          </w:p>
        </w:tc>
        <w:tc>
          <w:tcPr>
            <w:tcW w:w="1050" w:type="dxa"/>
            <w:tcBorders>
              <w:left w:val="nil"/>
              <w:bottom w:val="single" w:sz="12" w:space="0" w:color="2F75B5"/>
              <w:right w:val="nil"/>
            </w:tcBorders>
            <w:shd w:val="clear" w:color="auto" w:fill="FFFFFF" w:themeFill="background1"/>
            <w:tcMar>
              <w:left w:w="70" w:type="dxa"/>
              <w:right w:w="70" w:type="dxa"/>
            </w:tcMar>
            <w:vAlign w:val="bottom"/>
          </w:tcPr>
          <w:p w14:paraId="65E661A9" w14:textId="0F8492F9" w:rsidR="289EE394" w:rsidRDefault="289EE394" w:rsidP="289EE394">
            <w:pPr>
              <w:spacing w:after="0"/>
              <w:jc w:val="center"/>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13</w:t>
            </w:r>
          </w:p>
        </w:tc>
        <w:tc>
          <w:tcPr>
            <w:tcW w:w="1185" w:type="dxa"/>
            <w:tcBorders>
              <w:left w:val="nil"/>
              <w:bottom w:val="single" w:sz="12" w:space="0" w:color="2F75B5"/>
              <w:right w:val="nil"/>
            </w:tcBorders>
            <w:shd w:val="clear" w:color="auto" w:fill="FFFFFF" w:themeFill="background1"/>
            <w:tcMar>
              <w:left w:w="70" w:type="dxa"/>
              <w:right w:w="70" w:type="dxa"/>
            </w:tcMar>
            <w:vAlign w:val="bottom"/>
          </w:tcPr>
          <w:p w14:paraId="540B13A5" w14:textId="6A73391F" w:rsidR="289EE394" w:rsidRDefault="289EE394" w:rsidP="289EE394">
            <w:pPr>
              <w:spacing w:after="0"/>
              <w:jc w:val="center"/>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14</w:t>
            </w:r>
          </w:p>
        </w:tc>
        <w:tc>
          <w:tcPr>
            <w:tcW w:w="1335" w:type="dxa"/>
            <w:tcBorders>
              <w:left w:val="nil"/>
              <w:bottom w:val="single" w:sz="12" w:space="0" w:color="2F75B5"/>
              <w:right w:val="nil"/>
            </w:tcBorders>
            <w:shd w:val="clear" w:color="auto" w:fill="FFFFFF" w:themeFill="background1"/>
            <w:tcMar>
              <w:left w:w="70" w:type="dxa"/>
              <w:right w:w="70" w:type="dxa"/>
            </w:tcMar>
            <w:vAlign w:val="bottom"/>
          </w:tcPr>
          <w:p w14:paraId="4C0BF419" w14:textId="27D19B17" w:rsidR="289EE394" w:rsidRDefault="289EE394" w:rsidP="289EE394">
            <w:pPr>
              <w:spacing w:after="0"/>
              <w:jc w:val="center"/>
              <w:rPr>
                <w:rFonts w:ascii="Calibri" w:eastAsia="Calibri" w:hAnsi="Calibri" w:cs="Calibri"/>
                <w:b/>
                <w:bCs/>
                <w:color w:val="000000" w:themeColor="text1"/>
                <w:sz w:val="18"/>
                <w:szCs w:val="18"/>
              </w:rPr>
            </w:pPr>
            <w:r w:rsidRPr="289EE394">
              <w:rPr>
                <w:rFonts w:ascii="Calibri" w:eastAsia="Calibri" w:hAnsi="Calibri" w:cs="Calibri"/>
                <w:b/>
                <w:bCs/>
                <w:color w:val="000000" w:themeColor="text1"/>
                <w:sz w:val="18"/>
                <w:szCs w:val="18"/>
              </w:rPr>
              <w:t>72,7%</w:t>
            </w:r>
          </w:p>
        </w:tc>
      </w:tr>
    </w:tbl>
    <w:p w14:paraId="5155B494" w14:textId="481666A0" w:rsidR="001B4265" w:rsidRPr="007A6156" w:rsidRDefault="55E7D29C" w:rsidP="289EE394">
      <w:pPr>
        <w:tabs>
          <w:tab w:val="left" w:pos="567"/>
          <w:tab w:val="left" w:pos="993"/>
          <w:tab w:val="left" w:pos="1134"/>
          <w:tab w:val="left" w:pos="2268"/>
        </w:tabs>
        <w:spacing w:after="0"/>
      </w:pPr>
      <w:r w:rsidRPr="289EE394">
        <w:rPr>
          <w:rFonts w:ascii="Calibri" w:eastAsia="Calibri" w:hAnsi="Calibri" w:cs="Calibri"/>
          <w:color w:val="242424"/>
          <w:sz w:val="12"/>
          <w:szCs w:val="12"/>
        </w:rPr>
        <w:t>*En Gestión: Corresponde a gestiones previas (de mandantes) para el cumplimiento del compromiso.</w:t>
      </w:r>
    </w:p>
    <w:p w14:paraId="6FDB67C0" w14:textId="3BC02D7E" w:rsidR="001B4265" w:rsidRPr="007A6156" w:rsidRDefault="55E7D29C" w:rsidP="289EE394">
      <w:pPr>
        <w:tabs>
          <w:tab w:val="left" w:pos="567"/>
          <w:tab w:val="left" w:pos="993"/>
          <w:tab w:val="left" w:pos="1134"/>
          <w:tab w:val="left" w:pos="2268"/>
        </w:tabs>
        <w:spacing w:after="0"/>
      </w:pPr>
      <w:r w:rsidRPr="289EE394">
        <w:rPr>
          <w:rFonts w:ascii="Calibri" w:eastAsia="Calibri" w:hAnsi="Calibri" w:cs="Calibri"/>
          <w:color w:val="242424"/>
          <w:sz w:val="12"/>
          <w:szCs w:val="12"/>
        </w:rPr>
        <w:t>*En Desarrollo: Corresponde a gestiones previas (de la unidad técnica) para el cumplimiento del compromiso.</w:t>
      </w:r>
    </w:p>
    <w:p w14:paraId="6A802CA9" w14:textId="50AF769F" w:rsidR="001B4265" w:rsidRPr="007A6156" w:rsidRDefault="001B4265" w:rsidP="289EE394">
      <w:pPr>
        <w:tabs>
          <w:tab w:val="left" w:pos="567"/>
          <w:tab w:val="left" w:pos="993"/>
          <w:tab w:val="left" w:pos="1134"/>
          <w:tab w:val="left" w:pos="2268"/>
        </w:tabs>
        <w:spacing w:after="0"/>
        <w:rPr>
          <w:rFonts w:ascii="Calibri" w:eastAsia="Calibri" w:hAnsi="Calibri" w:cs="Calibri"/>
          <w:color w:val="242424"/>
          <w:sz w:val="12"/>
          <w:szCs w:val="12"/>
        </w:rPr>
      </w:pPr>
    </w:p>
    <w:p w14:paraId="6E7AC6C0" w14:textId="29B5F493" w:rsidR="001B4265" w:rsidRPr="007A6156" w:rsidRDefault="001B4265" w:rsidP="289EE394">
      <w:pPr>
        <w:tabs>
          <w:tab w:val="left" w:pos="567"/>
          <w:tab w:val="left" w:pos="993"/>
          <w:tab w:val="left" w:pos="1134"/>
          <w:tab w:val="left" w:pos="2268"/>
        </w:tabs>
        <w:spacing w:after="0"/>
        <w:rPr>
          <w:rFonts w:ascii="Calibri" w:eastAsia="Calibri" w:hAnsi="Calibri" w:cs="Calibri"/>
          <w:color w:val="242424"/>
          <w:sz w:val="12"/>
          <w:szCs w:val="12"/>
        </w:rPr>
      </w:pPr>
    </w:p>
    <w:p w14:paraId="405CDA61" w14:textId="1F5F5ADD" w:rsidR="001B4265" w:rsidRPr="007A6156" w:rsidRDefault="001B4265" w:rsidP="289EE394">
      <w:pPr>
        <w:tabs>
          <w:tab w:val="left" w:pos="567"/>
          <w:tab w:val="left" w:pos="993"/>
          <w:tab w:val="left" w:pos="1134"/>
          <w:tab w:val="left" w:pos="2268"/>
        </w:tabs>
        <w:spacing w:after="0"/>
        <w:rPr>
          <w:rFonts w:ascii="Calibri" w:eastAsia="Calibri" w:hAnsi="Calibri" w:cs="Calibri"/>
          <w:color w:val="242424"/>
          <w:sz w:val="12"/>
          <w:szCs w:val="12"/>
        </w:rPr>
      </w:pPr>
    </w:p>
    <w:p w14:paraId="6F8BAD6D" w14:textId="758DA19B" w:rsidR="001B4265" w:rsidRPr="007A6156" w:rsidRDefault="001B4265" w:rsidP="289EE394">
      <w:pPr>
        <w:tabs>
          <w:tab w:val="left" w:pos="567"/>
          <w:tab w:val="left" w:pos="993"/>
          <w:tab w:val="left" w:pos="1134"/>
          <w:tab w:val="left" w:pos="2268"/>
        </w:tabs>
        <w:spacing w:after="0"/>
        <w:rPr>
          <w:rFonts w:ascii="Calibri" w:eastAsia="Calibri" w:hAnsi="Calibri" w:cs="Calibri"/>
          <w:color w:val="242424"/>
          <w:sz w:val="12"/>
          <w:szCs w:val="12"/>
        </w:rPr>
      </w:pPr>
    </w:p>
    <w:p w14:paraId="7675CA81" w14:textId="5E92AB43" w:rsidR="001B4265" w:rsidRPr="007A6156" w:rsidRDefault="001B4265" w:rsidP="289EE394">
      <w:pPr>
        <w:tabs>
          <w:tab w:val="left" w:pos="567"/>
          <w:tab w:val="left" w:pos="993"/>
          <w:tab w:val="left" w:pos="1134"/>
          <w:tab w:val="left" w:pos="2268"/>
        </w:tabs>
        <w:spacing w:after="0"/>
        <w:rPr>
          <w:rFonts w:ascii="Calibri" w:eastAsia="Calibri" w:hAnsi="Calibri" w:cs="Calibri"/>
          <w:color w:val="242424"/>
          <w:sz w:val="12"/>
          <w:szCs w:val="12"/>
        </w:rPr>
      </w:pPr>
    </w:p>
    <w:p w14:paraId="1E3A2E6C" w14:textId="1410C90C" w:rsidR="001B4265" w:rsidRPr="007A6156" w:rsidRDefault="001B4265" w:rsidP="289EE394">
      <w:pPr>
        <w:tabs>
          <w:tab w:val="left" w:pos="567"/>
          <w:tab w:val="left" w:pos="993"/>
          <w:tab w:val="left" w:pos="1134"/>
          <w:tab w:val="left" w:pos="2268"/>
        </w:tabs>
        <w:spacing w:after="0"/>
        <w:rPr>
          <w:rFonts w:ascii="Calibri" w:eastAsia="Calibri" w:hAnsi="Calibri" w:cs="Calibri"/>
          <w:color w:val="242424"/>
          <w:sz w:val="12"/>
          <w:szCs w:val="12"/>
        </w:rPr>
      </w:pPr>
    </w:p>
    <w:p w14:paraId="31B7EF4A" w14:textId="371366B5" w:rsidR="001B4265" w:rsidRPr="007A6156" w:rsidRDefault="001B4265" w:rsidP="289EE394">
      <w:pPr>
        <w:tabs>
          <w:tab w:val="left" w:pos="567"/>
          <w:tab w:val="left" w:pos="993"/>
          <w:tab w:val="left" w:pos="1134"/>
          <w:tab w:val="left" w:pos="2268"/>
        </w:tabs>
        <w:spacing w:after="0"/>
        <w:rPr>
          <w:rFonts w:ascii="Calibri" w:eastAsia="Calibri" w:hAnsi="Calibri" w:cs="Calibri"/>
          <w:color w:val="242424"/>
          <w:sz w:val="12"/>
          <w:szCs w:val="12"/>
        </w:rPr>
      </w:pPr>
    </w:p>
    <w:p w14:paraId="213BDF89" w14:textId="7887CD11" w:rsidR="001B4265" w:rsidRPr="007A6156" w:rsidRDefault="001B4265" w:rsidP="289EE394">
      <w:pPr>
        <w:tabs>
          <w:tab w:val="left" w:pos="567"/>
          <w:tab w:val="left" w:pos="993"/>
          <w:tab w:val="left" w:pos="1134"/>
          <w:tab w:val="left" w:pos="2268"/>
        </w:tabs>
        <w:spacing w:after="0"/>
        <w:rPr>
          <w:rFonts w:ascii="Calibri" w:eastAsia="Calibri" w:hAnsi="Calibri" w:cs="Calibri"/>
          <w:color w:val="242424"/>
          <w:sz w:val="12"/>
          <w:szCs w:val="12"/>
        </w:rPr>
      </w:pPr>
    </w:p>
    <w:p w14:paraId="29D15B50" w14:textId="73C33A7A" w:rsidR="001B4265" w:rsidRPr="007A6156" w:rsidRDefault="001B4265" w:rsidP="289EE394">
      <w:pPr>
        <w:tabs>
          <w:tab w:val="left" w:pos="567"/>
          <w:tab w:val="left" w:pos="993"/>
          <w:tab w:val="left" w:pos="1134"/>
          <w:tab w:val="left" w:pos="2268"/>
        </w:tabs>
        <w:spacing w:after="0"/>
        <w:rPr>
          <w:rFonts w:ascii="Calibri" w:eastAsia="Calibri" w:hAnsi="Calibri" w:cs="Calibri"/>
          <w:color w:val="242424"/>
          <w:sz w:val="12"/>
          <w:szCs w:val="12"/>
        </w:rPr>
      </w:pPr>
    </w:p>
    <w:p w14:paraId="1D222D11" w14:textId="7052F43C" w:rsidR="001B4265" w:rsidRPr="007A6156" w:rsidRDefault="001B4265" w:rsidP="289EE394">
      <w:pPr>
        <w:tabs>
          <w:tab w:val="left" w:pos="567"/>
          <w:tab w:val="left" w:pos="993"/>
          <w:tab w:val="left" w:pos="1134"/>
          <w:tab w:val="left" w:pos="2268"/>
        </w:tabs>
        <w:spacing w:after="0"/>
        <w:rPr>
          <w:rFonts w:ascii="Calibri" w:eastAsia="Calibri" w:hAnsi="Calibri" w:cs="Calibri"/>
          <w:color w:val="242424"/>
          <w:sz w:val="12"/>
          <w:szCs w:val="12"/>
        </w:rPr>
      </w:pPr>
    </w:p>
    <w:p w14:paraId="57D63BB6" w14:textId="05F40EF2" w:rsidR="001B4265" w:rsidRPr="007A6156" w:rsidRDefault="001B4265" w:rsidP="289EE394">
      <w:pPr>
        <w:tabs>
          <w:tab w:val="left" w:pos="567"/>
          <w:tab w:val="left" w:pos="993"/>
          <w:tab w:val="left" w:pos="1134"/>
          <w:tab w:val="left" w:pos="2268"/>
        </w:tabs>
        <w:spacing w:after="0"/>
        <w:rPr>
          <w:rFonts w:ascii="Calibri" w:eastAsia="Calibri" w:hAnsi="Calibri" w:cs="Calibri"/>
          <w:color w:val="242424"/>
          <w:sz w:val="12"/>
          <w:szCs w:val="12"/>
        </w:rPr>
      </w:pPr>
    </w:p>
    <w:p w14:paraId="1780AB5E" w14:textId="5ADD735F" w:rsidR="001B4265" w:rsidRPr="007A6156" w:rsidRDefault="001B4265" w:rsidP="289EE394">
      <w:pPr>
        <w:tabs>
          <w:tab w:val="left" w:pos="567"/>
          <w:tab w:val="left" w:pos="993"/>
          <w:tab w:val="left" w:pos="1134"/>
          <w:tab w:val="left" w:pos="2268"/>
        </w:tabs>
        <w:spacing w:after="0"/>
        <w:rPr>
          <w:rFonts w:ascii="Calibri" w:eastAsia="Calibri" w:hAnsi="Calibri" w:cs="Calibri"/>
          <w:color w:val="242424"/>
          <w:sz w:val="12"/>
          <w:szCs w:val="12"/>
        </w:rPr>
      </w:pPr>
    </w:p>
    <w:p w14:paraId="503A652C" w14:textId="6B983FD5" w:rsidR="001B4265" w:rsidRPr="007A6156" w:rsidRDefault="001B4265" w:rsidP="289EE394">
      <w:pPr>
        <w:rPr>
          <w:rFonts w:ascii="Arial" w:hAnsi="Arial" w:cs="Arial"/>
        </w:rPr>
      </w:pPr>
    </w:p>
    <w:p w14:paraId="4F7412FD" w14:textId="34E7E03C" w:rsidR="001B4265" w:rsidRPr="007A6156" w:rsidRDefault="001B4265" w:rsidP="4DBA21A9">
      <w:pPr>
        <w:pStyle w:val="Ttulo1"/>
        <w:numPr>
          <w:ilvl w:val="0"/>
          <w:numId w:val="0"/>
        </w:numPr>
        <w:ind w:left="432"/>
        <w:rPr>
          <w:rFonts w:ascii="Arial" w:hAnsi="Arial" w:cs="Arial"/>
          <w:color w:val="002060"/>
        </w:rPr>
      </w:pPr>
    </w:p>
    <w:p w14:paraId="3181E394" w14:textId="45FD28EF" w:rsidR="001B4265" w:rsidRPr="007A6156" w:rsidRDefault="00A52E22" w:rsidP="4DBA21A9">
      <w:r>
        <w:br w:type="page"/>
      </w:r>
    </w:p>
    <w:p w14:paraId="6B13A63E" w14:textId="66439456" w:rsidR="001B4265" w:rsidRPr="007A6156" w:rsidRDefault="424B03B3" w:rsidP="001B4265">
      <w:pPr>
        <w:pStyle w:val="Ttulo1"/>
        <w:rPr>
          <w:rFonts w:ascii="Arial" w:hAnsi="Arial" w:cs="Arial"/>
          <w:color w:val="002060"/>
        </w:rPr>
      </w:pPr>
      <w:bookmarkStart w:id="3" w:name="_Toc213772493"/>
      <w:r w:rsidRPr="4DBA21A9">
        <w:rPr>
          <w:rFonts w:ascii="Arial" w:hAnsi="Arial" w:cs="Arial"/>
          <w:color w:val="002060"/>
        </w:rPr>
        <w:t>Dificultades y aprendizajes</w:t>
      </w:r>
      <w:bookmarkEnd w:id="3"/>
    </w:p>
    <w:p w14:paraId="746DE7FE" w14:textId="66C6D2FA" w:rsidR="4DBA21A9" w:rsidRDefault="4DBA21A9" w:rsidP="4DBA21A9">
      <w:pPr>
        <w:rPr>
          <w:rFonts w:ascii="Arial" w:eastAsia="Arial" w:hAnsi="Arial" w:cs="Arial"/>
          <w:color w:val="0A0A0A"/>
          <w:sz w:val="24"/>
          <w:szCs w:val="24"/>
        </w:rPr>
      </w:pPr>
    </w:p>
    <w:p w14:paraId="482E106B" w14:textId="4A887949" w:rsidR="61094452" w:rsidRDefault="61094452" w:rsidP="4DBA21A9">
      <w:pPr>
        <w:rPr>
          <w:rFonts w:ascii="Arial" w:eastAsia="Arial" w:hAnsi="Arial" w:cs="Arial"/>
          <w:color w:val="0A0A0A"/>
          <w:sz w:val="24"/>
          <w:szCs w:val="24"/>
        </w:rPr>
      </w:pPr>
      <w:r w:rsidRPr="4DBA21A9">
        <w:rPr>
          <w:rFonts w:ascii="Arial" w:eastAsia="Arial" w:hAnsi="Arial" w:cs="Arial"/>
          <w:color w:val="0A0A0A"/>
          <w:sz w:val="24"/>
          <w:szCs w:val="24"/>
        </w:rPr>
        <w:t xml:space="preserve">Dentro de los principales dificultades y aprendizajes del periodo fue </w:t>
      </w:r>
      <w:r w:rsidR="7B4608B3" w:rsidRPr="4DBA21A9">
        <w:rPr>
          <w:rFonts w:ascii="Arial" w:eastAsia="Arial" w:hAnsi="Arial" w:cs="Arial"/>
          <w:color w:val="0A0A0A"/>
          <w:sz w:val="24"/>
          <w:szCs w:val="24"/>
        </w:rPr>
        <w:t>las crisis económicas</w:t>
      </w:r>
      <w:r w:rsidRPr="4DBA21A9">
        <w:rPr>
          <w:rFonts w:ascii="Arial" w:eastAsia="Arial" w:hAnsi="Arial" w:cs="Arial"/>
          <w:color w:val="0A0A0A"/>
          <w:sz w:val="24"/>
          <w:szCs w:val="24"/>
        </w:rPr>
        <w:t xml:space="preserve"> y de la industria de la </w:t>
      </w:r>
      <w:r w:rsidR="00A821DF" w:rsidRPr="4DBA21A9">
        <w:rPr>
          <w:rFonts w:ascii="Arial" w:eastAsia="Arial" w:hAnsi="Arial" w:cs="Arial"/>
          <w:color w:val="0A0A0A"/>
          <w:sz w:val="24"/>
          <w:szCs w:val="24"/>
        </w:rPr>
        <w:t>construcción</w:t>
      </w:r>
      <w:r w:rsidRPr="4DBA21A9">
        <w:rPr>
          <w:rFonts w:ascii="Arial" w:eastAsia="Arial" w:hAnsi="Arial" w:cs="Arial"/>
          <w:color w:val="0A0A0A"/>
          <w:sz w:val="24"/>
          <w:szCs w:val="24"/>
        </w:rPr>
        <w:t xml:space="preserve">, impactada por el quiebre de </w:t>
      </w:r>
      <w:r w:rsidR="3D3E0D71" w:rsidRPr="4DBA21A9">
        <w:rPr>
          <w:rFonts w:ascii="Arial" w:eastAsia="Arial" w:hAnsi="Arial" w:cs="Arial"/>
          <w:color w:val="0A0A0A"/>
          <w:sz w:val="24"/>
          <w:szCs w:val="24"/>
        </w:rPr>
        <w:t>muchas</w:t>
      </w:r>
      <w:r w:rsidR="24638F99" w:rsidRPr="4DBA21A9">
        <w:rPr>
          <w:rFonts w:ascii="Arial" w:eastAsia="Arial" w:hAnsi="Arial" w:cs="Arial"/>
          <w:color w:val="0A0A0A"/>
          <w:sz w:val="24"/>
          <w:szCs w:val="24"/>
        </w:rPr>
        <w:t xml:space="preserve"> empresas con</w:t>
      </w:r>
      <w:r w:rsidR="76343B2B" w:rsidRPr="4DBA21A9">
        <w:rPr>
          <w:rFonts w:ascii="Arial" w:eastAsia="Arial" w:hAnsi="Arial" w:cs="Arial"/>
          <w:color w:val="0A0A0A"/>
          <w:sz w:val="24"/>
          <w:szCs w:val="24"/>
        </w:rPr>
        <w:t>tratistas</w:t>
      </w:r>
      <w:r w:rsidR="32019486" w:rsidRPr="4DBA21A9">
        <w:rPr>
          <w:rFonts w:ascii="Arial" w:eastAsia="Arial" w:hAnsi="Arial" w:cs="Arial"/>
          <w:color w:val="0A0A0A"/>
          <w:sz w:val="24"/>
          <w:szCs w:val="24"/>
        </w:rPr>
        <w:t>, Esto tuvo una fuerte incidencia en el aumento de</w:t>
      </w:r>
      <w:r w:rsidR="76343B2B" w:rsidRPr="4DBA21A9">
        <w:rPr>
          <w:rFonts w:ascii="Arial" w:eastAsia="Arial" w:hAnsi="Arial" w:cs="Arial"/>
          <w:color w:val="0A0A0A"/>
          <w:sz w:val="24"/>
          <w:szCs w:val="24"/>
        </w:rPr>
        <w:t xml:space="preserve"> los tiempos de </w:t>
      </w:r>
      <w:r w:rsidR="727C9CED" w:rsidRPr="4DBA21A9">
        <w:rPr>
          <w:rFonts w:ascii="Arial" w:eastAsia="Arial" w:hAnsi="Arial" w:cs="Arial"/>
          <w:color w:val="0A0A0A"/>
          <w:sz w:val="24"/>
          <w:szCs w:val="24"/>
        </w:rPr>
        <w:t>construcción</w:t>
      </w:r>
      <w:r w:rsidR="76343B2B" w:rsidRPr="4DBA21A9">
        <w:rPr>
          <w:rFonts w:ascii="Arial" w:eastAsia="Arial" w:hAnsi="Arial" w:cs="Arial"/>
          <w:color w:val="0A0A0A"/>
          <w:sz w:val="24"/>
          <w:szCs w:val="24"/>
        </w:rPr>
        <w:t>, abandono de obras, mayores costos a los estimados</w:t>
      </w:r>
      <w:r w:rsidR="48603740" w:rsidRPr="4DBA21A9">
        <w:rPr>
          <w:rFonts w:ascii="Arial" w:eastAsia="Arial" w:hAnsi="Arial" w:cs="Arial"/>
          <w:color w:val="0A0A0A"/>
          <w:sz w:val="24"/>
          <w:szCs w:val="24"/>
        </w:rPr>
        <w:t>,</w:t>
      </w:r>
      <w:r w:rsidR="76343B2B" w:rsidRPr="4DBA21A9">
        <w:rPr>
          <w:rFonts w:ascii="Arial" w:eastAsia="Arial" w:hAnsi="Arial" w:cs="Arial"/>
          <w:color w:val="0A0A0A"/>
          <w:sz w:val="24"/>
          <w:szCs w:val="24"/>
        </w:rPr>
        <w:t xml:space="preserve"> entre otros. </w:t>
      </w:r>
    </w:p>
    <w:p w14:paraId="550FC803" w14:textId="5C413842" w:rsidR="61094452" w:rsidRDefault="61094452" w:rsidP="289EE394">
      <w:pPr>
        <w:shd w:val="clear" w:color="auto" w:fill="FFFFFF" w:themeFill="background1"/>
        <w:rPr>
          <w:rFonts w:ascii="Arial" w:eastAsia="Arial" w:hAnsi="Arial" w:cs="Arial"/>
          <w:color w:val="0A0A0A"/>
          <w:sz w:val="24"/>
          <w:szCs w:val="24"/>
        </w:rPr>
      </w:pPr>
      <w:r w:rsidRPr="289EE394">
        <w:rPr>
          <w:rFonts w:ascii="Arial" w:eastAsia="Arial" w:hAnsi="Arial" w:cs="Arial"/>
          <w:color w:val="0A0A0A"/>
          <w:sz w:val="24"/>
          <w:szCs w:val="24"/>
        </w:rPr>
        <w:t>Se recibieron, en el caso de la cartera de seguridad, un total de 1</w:t>
      </w:r>
      <w:r w:rsidR="117C9415" w:rsidRPr="289EE394">
        <w:rPr>
          <w:rFonts w:ascii="Arial" w:eastAsia="Arial" w:hAnsi="Arial" w:cs="Arial"/>
          <w:color w:val="0A0A0A"/>
          <w:sz w:val="24"/>
          <w:szCs w:val="24"/>
        </w:rPr>
        <w:t>1</w:t>
      </w:r>
      <w:r w:rsidRPr="289EE394">
        <w:rPr>
          <w:rFonts w:ascii="Arial" w:eastAsia="Arial" w:hAnsi="Arial" w:cs="Arial"/>
          <w:color w:val="0A0A0A"/>
          <w:sz w:val="24"/>
          <w:szCs w:val="24"/>
        </w:rPr>
        <w:t xml:space="preserve"> contratos con término anticipado o en proceso de término, situación que obligó a adoptar medidas urgentes en los ámbitos técnico, administrativo y presupuestario.</w:t>
      </w:r>
    </w:p>
    <w:p w14:paraId="6ECD3A09" w14:textId="2A2D160D" w:rsidR="61094452" w:rsidRPr="00697D16" w:rsidRDefault="61094452" w:rsidP="289EE394">
      <w:pPr>
        <w:shd w:val="clear" w:color="auto" w:fill="FFFFFF" w:themeFill="background1"/>
        <w:rPr>
          <w:rFonts w:ascii="Arial" w:eastAsia="Arial" w:hAnsi="Arial" w:cs="Arial"/>
          <w:color w:val="0A0A0A"/>
          <w:sz w:val="24"/>
          <w:szCs w:val="24"/>
        </w:rPr>
      </w:pPr>
      <w:r w:rsidRPr="289EE394">
        <w:rPr>
          <w:rFonts w:ascii="Arial" w:eastAsia="Arial" w:hAnsi="Arial" w:cs="Arial"/>
          <w:color w:val="0A0A0A"/>
          <w:sz w:val="24"/>
          <w:szCs w:val="24"/>
        </w:rPr>
        <w:t xml:space="preserve">Desde el punto de vista técnico, se identificaron proyectos deficientes en su desarrollo, suficiencia y completitud de antecedentes, lo que resultaba en constantes controversias con los contratistas. </w:t>
      </w:r>
      <w:r w:rsidRPr="00697D16">
        <w:rPr>
          <w:rFonts w:ascii="Arial" w:eastAsia="Arial" w:hAnsi="Arial" w:cs="Arial"/>
          <w:color w:val="0A0A0A"/>
          <w:sz w:val="24"/>
          <w:szCs w:val="24"/>
        </w:rPr>
        <w:t>La implementación de cambios normativos, como por ejemplo la actualización de la normativa eléctrica, implicó la necesidad de realizar ajustes en los diseños originales de los proyectos, lo cual tuvo su correspondiente impacto en los costos de ejecución de las obras.</w:t>
      </w:r>
      <w:r w:rsidR="1DBED307" w:rsidRPr="00697D16">
        <w:rPr>
          <w:rFonts w:ascii="Arial" w:eastAsia="Arial" w:hAnsi="Arial" w:cs="Arial"/>
          <w:color w:val="0A0A0A"/>
          <w:sz w:val="24"/>
          <w:szCs w:val="24"/>
        </w:rPr>
        <w:t xml:space="preserve"> Esto aumento los procesos debiendo realizarse reevaluaciones ante el MDSF y conseguir en la mayoría de los casos, recursos adicionales con lo</w:t>
      </w:r>
      <w:r w:rsidR="3C1AD28C" w:rsidRPr="00697D16">
        <w:rPr>
          <w:rFonts w:ascii="Arial" w:eastAsia="Arial" w:hAnsi="Arial" w:cs="Arial"/>
          <w:color w:val="0A0A0A"/>
          <w:sz w:val="24"/>
          <w:szCs w:val="24"/>
        </w:rPr>
        <w:t>s mandantes.</w:t>
      </w:r>
    </w:p>
    <w:p w14:paraId="754484A4" w14:textId="3B5E67B1" w:rsidR="61094452" w:rsidRDefault="61094452" w:rsidP="289EE394">
      <w:pPr>
        <w:shd w:val="clear" w:color="auto" w:fill="FFFFFF" w:themeFill="background1"/>
        <w:rPr>
          <w:rFonts w:ascii="Arial" w:eastAsia="Arial" w:hAnsi="Arial" w:cs="Arial"/>
          <w:color w:val="0A0A0A"/>
          <w:sz w:val="24"/>
          <w:szCs w:val="24"/>
        </w:rPr>
      </w:pPr>
      <w:r w:rsidRPr="289EE394">
        <w:rPr>
          <w:rFonts w:ascii="Arial" w:eastAsia="Arial" w:hAnsi="Arial" w:cs="Arial"/>
          <w:color w:val="0A0A0A"/>
          <w:sz w:val="24"/>
          <w:szCs w:val="24"/>
        </w:rPr>
        <w:t>En el área administrativa, los convenios mandato carecían de cláusulas de reajuste y anticipo, entre otros. Estas condiciones no reflejaban la realidad del mercado y desincentivaban la participación de las empresas en los procesos licitatorios.</w:t>
      </w:r>
    </w:p>
    <w:p w14:paraId="00647770" w14:textId="71CBC096" w:rsidR="61094452" w:rsidRDefault="61094452" w:rsidP="289EE394">
      <w:pPr>
        <w:shd w:val="clear" w:color="auto" w:fill="FFFFFF" w:themeFill="background1"/>
        <w:rPr>
          <w:rFonts w:ascii="Arial" w:eastAsia="Arial" w:hAnsi="Arial" w:cs="Arial"/>
          <w:color w:val="0A0A0A"/>
          <w:sz w:val="24"/>
          <w:szCs w:val="24"/>
        </w:rPr>
      </w:pPr>
      <w:r w:rsidRPr="289EE394">
        <w:rPr>
          <w:rFonts w:ascii="Arial" w:eastAsia="Arial" w:hAnsi="Arial" w:cs="Arial"/>
          <w:color w:val="0A0A0A"/>
          <w:sz w:val="24"/>
          <w:szCs w:val="24"/>
        </w:rPr>
        <w:t xml:space="preserve">Desde el ámbito presupuestario, las estimaciones de costos estaban alejadas de la realidad del mercado, lo que implicó unificar esfuerzos interinstitucionalmente para definir criterios claros y ajustados. </w:t>
      </w:r>
    </w:p>
    <w:p w14:paraId="1389F23B" w14:textId="787B20EE" w:rsidR="61094452" w:rsidRDefault="61094452" w:rsidP="289EE394">
      <w:pPr>
        <w:shd w:val="clear" w:color="auto" w:fill="FFFFFF" w:themeFill="background1"/>
        <w:rPr>
          <w:rFonts w:ascii="Arial" w:eastAsia="Arial" w:hAnsi="Arial" w:cs="Arial"/>
          <w:color w:val="0A0A0A"/>
          <w:sz w:val="24"/>
          <w:szCs w:val="24"/>
        </w:rPr>
      </w:pPr>
      <w:r w:rsidRPr="289EE394">
        <w:rPr>
          <w:rFonts w:ascii="Arial" w:eastAsia="Arial" w:hAnsi="Arial" w:cs="Arial"/>
          <w:color w:val="0A0A0A"/>
          <w:sz w:val="24"/>
          <w:szCs w:val="24"/>
        </w:rPr>
        <w:t>Se ha detectado un serio retardo en la tramitación y solución de los estados de pago a las empresas contratistas, un problema especialmente acusado por parte de los gobiernos regionales. Esta situación puede acarrear graves consecuencias para la continuidad de los proyectos, poniendo en riesgo su viabilidad y los plazos de entrega.</w:t>
      </w:r>
    </w:p>
    <w:p w14:paraId="41319443" w14:textId="58141680" w:rsidR="61094452" w:rsidRDefault="61094452" w:rsidP="289EE394">
      <w:pPr>
        <w:shd w:val="clear" w:color="auto" w:fill="FFFFFF" w:themeFill="background1"/>
        <w:rPr>
          <w:rFonts w:ascii="Arial" w:eastAsia="Arial" w:hAnsi="Arial" w:cs="Arial"/>
          <w:color w:val="0A0A0A"/>
          <w:sz w:val="24"/>
          <w:szCs w:val="24"/>
        </w:rPr>
      </w:pPr>
      <w:r w:rsidRPr="4DBA21A9">
        <w:rPr>
          <w:rFonts w:ascii="Arial" w:eastAsia="Arial" w:hAnsi="Arial" w:cs="Arial"/>
          <w:color w:val="0A0A0A"/>
          <w:sz w:val="24"/>
          <w:szCs w:val="24"/>
        </w:rPr>
        <w:t>El incumplimiento extemporáneo de las obligaciones de pago en el contexto de obras mandatadas, ya sean por licitaciones públicas o privadas, constituye un factor de riesgo financiero que afecta la elegibilidad y evaluación de futuras propuestas. Un historial de pagos fuera de los plazos contractuales genera una percepción de riesgo que se traduce en mayores costos para las futuras licitaciones e incluso desincentiva la participación de empresas en los procesos.</w:t>
      </w:r>
      <w:r w:rsidR="4F4E430F" w:rsidRPr="4DBA21A9">
        <w:rPr>
          <w:rFonts w:ascii="Arial" w:eastAsia="Arial" w:hAnsi="Arial" w:cs="Arial"/>
          <w:color w:val="0A0A0A"/>
          <w:sz w:val="24"/>
          <w:szCs w:val="24"/>
        </w:rPr>
        <w:t xml:space="preserve"> Esto se expresa mayormente en los proyectos de seguridad que se financian con recursos de los gobiernos regionales,</w:t>
      </w:r>
    </w:p>
    <w:p w14:paraId="29D4A795" w14:textId="5C09FFA9" w:rsidR="61094452" w:rsidRDefault="61094452" w:rsidP="4DBA21A9">
      <w:pPr>
        <w:shd w:val="clear" w:color="auto" w:fill="FFFFFF" w:themeFill="background1"/>
        <w:rPr>
          <w:rFonts w:ascii="Arial" w:eastAsia="Arial" w:hAnsi="Arial" w:cs="Arial"/>
          <w:color w:val="0A0A0A"/>
          <w:sz w:val="24"/>
          <w:szCs w:val="24"/>
        </w:rPr>
      </w:pPr>
      <w:r w:rsidRPr="4DBA21A9">
        <w:rPr>
          <w:rFonts w:ascii="Arial" w:eastAsia="Arial" w:hAnsi="Arial" w:cs="Arial"/>
          <w:color w:val="0A0A0A"/>
          <w:sz w:val="24"/>
          <w:szCs w:val="24"/>
        </w:rPr>
        <w:t>Lo anterior produce, a su vez,</w:t>
      </w:r>
      <w:r w:rsidR="7C54E482" w:rsidRPr="4DBA21A9">
        <w:rPr>
          <w:rFonts w:ascii="Arial" w:eastAsia="Arial" w:hAnsi="Arial" w:cs="Arial"/>
          <w:color w:val="0A0A0A"/>
          <w:sz w:val="24"/>
          <w:szCs w:val="24"/>
        </w:rPr>
        <w:t xml:space="preserve"> efectos perjudiciales para el interés público</w:t>
      </w:r>
      <w:r w:rsidR="2E168C3B" w:rsidRPr="4DBA21A9">
        <w:rPr>
          <w:rFonts w:ascii="Arial" w:eastAsia="Arial" w:hAnsi="Arial" w:cs="Arial"/>
          <w:color w:val="0A0A0A"/>
          <w:sz w:val="24"/>
          <w:szCs w:val="24"/>
        </w:rPr>
        <w:t xml:space="preserve"> como</w:t>
      </w:r>
      <w:r w:rsidRPr="4DBA21A9">
        <w:rPr>
          <w:rFonts w:ascii="Arial" w:eastAsia="Arial" w:hAnsi="Arial" w:cs="Arial"/>
          <w:color w:val="0A0A0A"/>
          <w:sz w:val="24"/>
          <w:szCs w:val="24"/>
        </w:rPr>
        <w:t xml:space="preserve"> el pago de indemnizaciones, sobrecostos por la recontratación de obras y la consecuente postergación de la satisfacción de las necesidades de la población en general. El </w:t>
      </w:r>
      <w:r w:rsidR="4048168D" w:rsidRPr="4DBA21A9">
        <w:rPr>
          <w:rFonts w:ascii="Arial" w:eastAsia="Arial" w:hAnsi="Arial" w:cs="Arial"/>
          <w:color w:val="0A0A0A"/>
          <w:sz w:val="24"/>
          <w:szCs w:val="24"/>
        </w:rPr>
        <w:t>daño</w:t>
      </w:r>
      <w:r w:rsidRPr="4DBA21A9">
        <w:rPr>
          <w:rFonts w:ascii="Arial" w:eastAsia="Arial" w:hAnsi="Arial" w:cs="Arial"/>
          <w:color w:val="0A0A0A"/>
          <w:sz w:val="24"/>
          <w:szCs w:val="24"/>
        </w:rPr>
        <w:t xml:space="preserve"> económico se extiende a las empresas contratistas, que enfrentan problemas de liquidez que pueden poner en peligro su continuidad operativa, especialmente en el caso de las pymes.</w:t>
      </w:r>
    </w:p>
    <w:p w14:paraId="236E649F" w14:textId="31BA65E8" w:rsidR="61094452" w:rsidRDefault="61094452" w:rsidP="4DBA21A9">
      <w:pPr>
        <w:shd w:val="clear" w:color="auto" w:fill="FFFFFF" w:themeFill="background1"/>
        <w:rPr>
          <w:rFonts w:ascii="Arial" w:eastAsia="Arial" w:hAnsi="Arial" w:cs="Arial"/>
          <w:color w:val="0A0A0A"/>
          <w:sz w:val="24"/>
          <w:szCs w:val="24"/>
        </w:rPr>
      </w:pPr>
      <w:r w:rsidRPr="4DBA21A9">
        <w:rPr>
          <w:rFonts w:ascii="Arial" w:eastAsia="Arial" w:hAnsi="Arial" w:cs="Arial"/>
          <w:color w:val="0A0A0A"/>
          <w:sz w:val="24"/>
          <w:szCs w:val="24"/>
        </w:rPr>
        <w:t>Para mitigar estos efectos, se hizo necesario fortalecer la relación con los mandantes. El objetivo fue transmitir la importancia y los beneficios de implementar un trabajo coordinado y sistematizado, en pro de alcanzar los objetivos planteados y garantizar la eficiencia en los procesos de pago.</w:t>
      </w:r>
      <w:r w:rsidR="1E5E4375" w:rsidRPr="4DBA21A9">
        <w:rPr>
          <w:rFonts w:ascii="Arial" w:eastAsia="Arial" w:hAnsi="Arial" w:cs="Arial"/>
          <w:color w:val="0A0A0A"/>
          <w:sz w:val="24"/>
          <w:szCs w:val="24"/>
        </w:rPr>
        <w:t xml:space="preserve"> Esto ha tenido efectos</w:t>
      </w:r>
      <w:r w:rsidR="14F047F8" w:rsidRPr="4DBA21A9">
        <w:rPr>
          <w:rFonts w:ascii="Arial" w:eastAsia="Arial" w:hAnsi="Arial" w:cs="Arial"/>
          <w:color w:val="0A0A0A"/>
          <w:sz w:val="24"/>
          <w:szCs w:val="24"/>
        </w:rPr>
        <w:t xml:space="preserve"> que </w:t>
      </w:r>
      <w:r w:rsidR="1E5E4375" w:rsidRPr="4DBA21A9">
        <w:rPr>
          <w:rFonts w:ascii="Arial" w:eastAsia="Arial" w:hAnsi="Arial" w:cs="Arial"/>
          <w:color w:val="0A0A0A"/>
          <w:sz w:val="24"/>
          <w:szCs w:val="24"/>
        </w:rPr>
        <w:t>requiere</w:t>
      </w:r>
      <w:r w:rsidR="69B6AC4E" w:rsidRPr="4DBA21A9">
        <w:rPr>
          <w:rFonts w:ascii="Arial" w:eastAsia="Arial" w:hAnsi="Arial" w:cs="Arial"/>
          <w:color w:val="0A0A0A"/>
          <w:sz w:val="24"/>
          <w:szCs w:val="24"/>
        </w:rPr>
        <w:t>n</w:t>
      </w:r>
      <w:r w:rsidR="1E5E4375" w:rsidRPr="4DBA21A9">
        <w:rPr>
          <w:rFonts w:ascii="Arial" w:eastAsia="Arial" w:hAnsi="Arial" w:cs="Arial"/>
          <w:color w:val="0A0A0A"/>
          <w:sz w:val="24"/>
          <w:szCs w:val="24"/>
        </w:rPr>
        <w:t xml:space="preserve"> de las voluntades de personas, por lo que es frágil gestionar proyectos con estos riesgos</w:t>
      </w:r>
      <w:r w:rsidR="148F6D26" w:rsidRPr="4DBA21A9">
        <w:rPr>
          <w:rFonts w:ascii="Arial" w:eastAsia="Arial" w:hAnsi="Arial" w:cs="Arial"/>
          <w:color w:val="0A0A0A"/>
          <w:sz w:val="24"/>
          <w:szCs w:val="24"/>
        </w:rPr>
        <w:t xml:space="preserve"> que se expresan en mayores costos de obra</w:t>
      </w:r>
    </w:p>
    <w:p w14:paraId="5953CC03" w14:textId="08FCA080" w:rsidR="001B4265" w:rsidRPr="007A6156" w:rsidRDefault="00A52E22" w:rsidP="001B4265">
      <w:pPr>
        <w:pStyle w:val="Ttulo1"/>
        <w:rPr>
          <w:rFonts w:ascii="Arial" w:hAnsi="Arial" w:cs="Arial"/>
          <w:color w:val="002060"/>
        </w:rPr>
      </w:pPr>
      <w:bookmarkStart w:id="4" w:name="_Toc213772494"/>
      <w:r w:rsidRPr="007A6156">
        <w:rPr>
          <w:rFonts w:ascii="Arial" w:hAnsi="Arial" w:cs="Arial"/>
          <w:color w:val="002060"/>
        </w:rPr>
        <w:t>Proyección y recomendaciones de continuidad</w:t>
      </w:r>
      <w:bookmarkEnd w:id="4"/>
    </w:p>
    <w:p w14:paraId="398419B1" w14:textId="77777777" w:rsidR="001B4265" w:rsidRPr="00AC1CD4" w:rsidRDefault="001B4265" w:rsidP="001B4265">
      <w:pPr>
        <w:rPr>
          <w:rFonts w:ascii="Arial" w:hAnsi="Arial" w:cs="Arial"/>
        </w:rPr>
      </w:pPr>
    </w:p>
    <w:p w14:paraId="44A615BC" w14:textId="72E44938" w:rsidR="00AC1CD4" w:rsidRPr="00697D16" w:rsidRDefault="79515100" w:rsidP="289EE394">
      <w:pPr>
        <w:shd w:val="clear" w:color="auto" w:fill="FFFFFF" w:themeFill="background1"/>
        <w:rPr>
          <w:rFonts w:ascii="Arial" w:eastAsia="Arial" w:hAnsi="Arial" w:cs="Arial"/>
          <w:color w:val="0A0A0A"/>
          <w:sz w:val="24"/>
          <w:szCs w:val="24"/>
        </w:rPr>
      </w:pPr>
      <w:r w:rsidRPr="00697D16">
        <w:rPr>
          <w:rFonts w:ascii="Arial" w:eastAsia="Arial" w:hAnsi="Arial" w:cs="Arial"/>
          <w:color w:val="0A0A0A"/>
          <w:sz w:val="24"/>
          <w:szCs w:val="24"/>
        </w:rPr>
        <w:t>Consolidación y Proyección de la Política Pública de Infraestructura Policial</w:t>
      </w:r>
    </w:p>
    <w:p w14:paraId="0D5D6CF9" w14:textId="618D57C0" w:rsidR="00AC1CD4" w:rsidRPr="00697D16" w:rsidRDefault="79515100" w:rsidP="289EE394">
      <w:pPr>
        <w:shd w:val="clear" w:color="auto" w:fill="FFFFFF" w:themeFill="background1"/>
        <w:rPr>
          <w:rFonts w:ascii="Arial" w:eastAsia="Arial" w:hAnsi="Arial" w:cs="Arial"/>
          <w:color w:val="0A0A0A"/>
          <w:sz w:val="24"/>
          <w:szCs w:val="24"/>
        </w:rPr>
      </w:pPr>
      <w:r w:rsidRPr="00697D16">
        <w:rPr>
          <w:rFonts w:ascii="Arial" w:eastAsia="Arial" w:hAnsi="Arial" w:cs="Arial"/>
          <w:color w:val="0A0A0A"/>
          <w:sz w:val="24"/>
          <w:szCs w:val="24"/>
        </w:rPr>
        <w:t>El modelo de gobernanza implementado, centrado en una mesa de trabajo interinstitucional que alineó a ministerios, policías y la Dirección de Arquitectura del MOP, demostró ser crucial para destrabar proyectos y consensuar una cartera estratégica de iniciativas de inversión. Para asegurar la trascendencia de este logro y convertirlo en una política de Estado permanente, resulta fundamental formalizar este mecanismo de coordinación mediante un acto administrativo (como un decreto o resolución) que establezca claramente su propósito, alcance y funcionamiento. Esto permitirá institucionalizar los protocolos de gestión y priorización, garantizando su operación continua y evitando la discontinuidad ante cambios administrativos, al tiempo que se establecen estándares metodológicos obligatorios para todos los actores involucrados.</w:t>
      </w:r>
    </w:p>
    <w:p w14:paraId="356FE871" w14:textId="39939055" w:rsidR="00AC1CD4" w:rsidRPr="00AC1CD4" w:rsidRDefault="79515100" w:rsidP="4DBA21A9">
      <w:pPr>
        <w:shd w:val="clear" w:color="auto" w:fill="FFFFFF" w:themeFill="background1"/>
        <w:rPr>
          <w:rFonts w:ascii="Arial" w:eastAsia="Arial" w:hAnsi="Arial" w:cs="Arial"/>
          <w:color w:val="0A0A0A"/>
          <w:sz w:val="24"/>
          <w:szCs w:val="24"/>
        </w:rPr>
      </w:pPr>
      <w:r w:rsidRPr="00697D16">
        <w:rPr>
          <w:rFonts w:ascii="Arial" w:eastAsia="Arial" w:hAnsi="Arial" w:cs="Arial"/>
          <w:color w:val="0A0A0A"/>
          <w:sz w:val="24"/>
          <w:szCs w:val="24"/>
        </w:rPr>
        <w:t xml:space="preserve">En el ámbito financiero y de ejecución contractual, la medida del reajuste retroactivo fue vital para evitar quiebras de empresas y dar continuidad a las obras en un contexto económico desafiante. La incorporación de mecanismos financieros sólidos, como la implementación sistemática de reajustes a los contratos y la provisión de anticipos, hace más atractivas las licitaciones y entrega mayor certeza a nuestros contratistas. Estas medidas son </w:t>
      </w:r>
      <w:r w:rsidRPr="4DBA21A9">
        <w:rPr>
          <w:rFonts w:ascii="Arial" w:eastAsia="Arial" w:hAnsi="Arial" w:cs="Arial"/>
          <w:color w:val="0A0A0A"/>
          <w:sz w:val="24"/>
          <w:szCs w:val="24"/>
        </w:rPr>
        <w:t xml:space="preserve">esenciales para asegurar el buen desarrollo y la sostenibilidad a largo plazo de los proyectos de inversión pública en </w:t>
      </w:r>
      <w:r w:rsidR="21F61A56" w:rsidRPr="4DBA21A9">
        <w:rPr>
          <w:rFonts w:ascii="Arial" w:eastAsia="Arial" w:hAnsi="Arial" w:cs="Arial"/>
          <w:color w:val="0A0A0A"/>
          <w:sz w:val="24"/>
          <w:szCs w:val="24"/>
        </w:rPr>
        <w:t xml:space="preserve">seguridad. </w:t>
      </w:r>
    </w:p>
    <w:p w14:paraId="3EBE3338" w14:textId="6A8F9F7A" w:rsidR="00AC1CD4" w:rsidRDefault="00B406B3" w:rsidP="289EE394">
      <w:pPr>
        <w:shd w:val="clear" w:color="auto" w:fill="FFFFFF" w:themeFill="background1"/>
        <w:rPr>
          <w:rFonts w:ascii="Arial" w:eastAsia="Arial" w:hAnsi="Arial" w:cs="Arial"/>
          <w:color w:val="0A0A0A"/>
          <w:sz w:val="24"/>
          <w:szCs w:val="24"/>
        </w:rPr>
      </w:pPr>
      <w:r>
        <w:rPr>
          <w:rFonts w:ascii="Arial" w:eastAsia="Arial" w:hAnsi="Arial" w:cs="Arial"/>
          <w:color w:val="0A0A0A"/>
          <w:sz w:val="24"/>
          <w:szCs w:val="24"/>
        </w:rPr>
        <w:t>Para</w:t>
      </w:r>
      <w:r w:rsidR="79515100" w:rsidRPr="4DBA21A9">
        <w:rPr>
          <w:rFonts w:ascii="Arial" w:eastAsia="Arial" w:hAnsi="Arial" w:cs="Arial"/>
          <w:color w:val="0A0A0A"/>
          <w:sz w:val="24"/>
          <w:szCs w:val="24"/>
        </w:rPr>
        <w:t xml:space="preserve"> materializar la</w:t>
      </w:r>
      <w:r w:rsidR="5815B455" w:rsidRPr="4DBA21A9">
        <w:rPr>
          <w:rFonts w:ascii="Arial" w:eastAsia="Arial" w:hAnsi="Arial" w:cs="Arial"/>
          <w:color w:val="0A0A0A"/>
          <w:sz w:val="24"/>
          <w:szCs w:val="24"/>
        </w:rPr>
        <w:t xml:space="preserve"> </w:t>
      </w:r>
      <w:r w:rsidR="79515100" w:rsidRPr="4DBA21A9">
        <w:rPr>
          <w:rFonts w:ascii="Arial" w:eastAsia="Arial" w:hAnsi="Arial" w:cs="Arial"/>
          <w:color w:val="0A0A0A"/>
          <w:sz w:val="24"/>
          <w:szCs w:val="24"/>
        </w:rPr>
        <w:t xml:space="preserve">visión de una "presencia policial digna y eficaz en todo el país", la política pública debe expandir su cobertura de manera equitativa y con un enfoque territorial inclusivo. Los pasos siguientes implican desarrollar un mapa detallado de carencias de infraestructura a nivel nacional, priorizando zonas rurales o aisladas. Se recomienda a la siguiente administración establecer metas claras de expansión para el próximo quinquenio, asegurando que la inversión en infraestructura policial de calidad se consolide como un derecho permanente para la ciudadanía y los funcionarios, integrando en los diseños futuros criterios de arquitectura abierta y centrada en la comunidad para </w:t>
      </w:r>
      <w:r w:rsidR="79515100" w:rsidRPr="00B406B3">
        <w:rPr>
          <w:rFonts w:ascii="Arial" w:eastAsia="Arial" w:hAnsi="Arial" w:cs="Arial"/>
          <w:color w:val="0A0A0A"/>
          <w:sz w:val="24"/>
          <w:szCs w:val="24"/>
        </w:rPr>
        <w:t>fortalecer el vínculo entre las instituciones y la población.</w:t>
      </w:r>
    </w:p>
    <w:p w14:paraId="682238B8" w14:textId="77777777" w:rsidR="00B406B3" w:rsidRPr="00B406B3" w:rsidRDefault="00B406B3" w:rsidP="289EE394">
      <w:pPr>
        <w:shd w:val="clear" w:color="auto" w:fill="FFFFFF" w:themeFill="background1"/>
        <w:rPr>
          <w:rFonts w:ascii="Arial" w:eastAsia="Arial" w:hAnsi="Arial" w:cs="Arial"/>
          <w:color w:val="0A0A0A"/>
          <w:sz w:val="24"/>
          <w:szCs w:val="24"/>
        </w:rPr>
      </w:pPr>
    </w:p>
    <w:p w14:paraId="506E9AAB" w14:textId="77777777" w:rsidR="00B406B3" w:rsidRPr="00B406B3" w:rsidRDefault="00B406B3" w:rsidP="00B406B3">
      <w:pPr>
        <w:shd w:val="clear" w:color="auto" w:fill="FFFFFF" w:themeFill="background1"/>
        <w:rPr>
          <w:rFonts w:ascii="Arial" w:eastAsia="Arial" w:hAnsi="Arial" w:cs="Arial"/>
          <w:color w:val="0A0A0A"/>
          <w:sz w:val="24"/>
          <w:szCs w:val="24"/>
        </w:rPr>
      </w:pPr>
      <w:r w:rsidRPr="00B406B3">
        <w:rPr>
          <w:rFonts w:ascii="Arial" w:eastAsia="Arial" w:hAnsi="Arial" w:cs="Arial"/>
          <w:color w:val="0A0A0A"/>
          <w:sz w:val="24"/>
          <w:szCs w:val="24"/>
        </w:rPr>
        <w:t>La continuidad de esta trayectoria de inversión por parte de la administración entrante trasciende la mera gestión administrativa, constituyéndose como un imperativo de seguridad nacional. Interrumpir la ejecución de los proyectos vigentes o desarticular los mecanismos de licitación ya validados representaría un retroceso crítico hacia la inseguridad multidimensional. Una obra paralizada no debe entenderse solo como un activo financiero en deterioro, sino como un territorio donde el Estado cede presencia efectiva, fomentando una percepción de abandono que permite que las brechas de vigilancia sean ocupadas por estructuras criminales.</w:t>
      </w:r>
    </w:p>
    <w:p w14:paraId="3E307E05" w14:textId="77777777" w:rsidR="00B406B3" w:rsidRPr="00B406B3" w:rsidRDefault="00B406B3" w:rsidP="00B406B3">
      <w:pPr>
        <w:shd w:val="clear" w:color="auto" w:fill="FFFFFF" w:themeFill="background1"/>
        <w:rPr>
          <w:rFonts w:ascii="Arial" w:eastAsia="Arial" w:hAnsi="Arial" w:cs="Arial"/>
          <w:color w:val="0A0A0A"/>
          <w:sz w:val="24"/>
          <w:szCs w:val="24"/>
        </w:rPr>
      </w:pPr>
      <w:r w:rsidRPr="00B406B3">
        <w:rPr>
          <w:rFonts w:ascii="Arial" w:eastAsia="Arial" w:hAnsi="Arial" w:cs="Arial"/>
          <w:color w:val="0A0A0A"/>
          <w:sz w:val="24"/>
          <w:szCs w:val="24"/>
        </w:rPr>
        <w:t>La sostenibilidad de esta política pública es la única garantía estratégica para evitar que la infraestructura de seguridad recaiga en la obsolescencia y la inviabilidad técnica detectada en periodos anteriores. Solo mediante la persistencia en el flujo de inversión y la consolidación de los estándares de diseño y ejecución alcanzados, será posible asegurar que el despliegue policial sea efectivo, oportuno y capaz de responder a las amenazas dinámicas que enfrenta la ciudadanía. Detener este proceso significaría desaprovechar la capacidad instalada y postergar indefinidamente el derecho de las comunidades a contar con entornos seguros y protegidos</w:t>
      </w:r>
    </w:p>
    <w:p w14:paraId="22E60E72" w14:textId="7CACB414" w:rsidR="00B406B3" w:rsidRPr="00B406B3" w:rsidRDefault="00B406B3" w:rsidP="00B406B3">
      <w:pPr>
        <w:shd w:val="clear" w:color="auto" w:fill="FFFFFF" w:themeFill="background1"/>
        <w:rPr>
          <w:rFonts w:ascii="Arial" w:eastAsia="Arial" w:hAnsi="Arial" w:cs="Arial"/>
          <w:color w:val="0A0A0A"/>
          <w:sz w:val="24"/>
          <w:szCs w:val="24"/>
        </w:rPr>
      </w:pPr>
    </w:p>
    <w:sectPr w:rsidR="00B406B3" w:rsidRPr="00B406B3" w:rsidSect="003677E2">
      <w:headerReference w:type="default" r:id="rId18"/>
      <w:footerReference w:type="default" r:id="rId19"/>
      <w:pgSz w:w="12240" w:h="15840"/>
      <w:pgMar w:top="1276" w:right="1327" w:bottom="56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2AC3D" w14:textId="77777777" w:rsidR="00505367" w:rsidRDefault="00505367" w:rsidP="009449B4">
      <w:pPr>
        <w:spacing w:after="0" w:line="240" w:lineRule="auto"/>
      </w:pPr>
      <w:r>
        <w:separator/>
      </w:r>
    </w:p>
  </w:endnote>
  <w:endnote w:type="continuationSeparator" w:id="0">
    <w:p w14:paraId="696044E6" w14:textId="77777777" w:rsidR="00505367" w:rsidRDefault="00505367" w:rsidP="00944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charset w:val="00"/>
    <w:family w:val="auto"/>
    <w:pitch w:val="variable"/>
    <w:sig w:usb0="00000001"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1536" w14:textId="77777777" w:rsidR="003D2994" w:rsidRDefault="003D29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460239"/>
      <w:docPartObj>
        <w:docPartGallery w:val="Page Numbers (Bottom of Page)"/>
        <w:docPartUnique/>
      </w:docPartObj>
    </w:sdtPr>
    <w:sdtEndPr/>
    <w:sdtContent>
      <w:p w14:paraId="1BBC0705" w14:textId="24EBBCD8" w:rsidR="003D2994" w:rsidRDefault="003D2994">
        <w:pPr>
          <w:pStyle w:val="Piedepgina"/>
          <w:jc w:val="right"/>
        </w:pPr>
        <w:r>
          <w:fldChar w:fldCharType="begin"/>
        </w:r>
        <w:r>
          <w:instrText>PAGE   \* MERGEFORMAT</w:instrText>
        </w:r>
        <w:r>
          <w:fldChar w:fldCharType="separate"/>
        </w:r>
        <w:r w:rsidR="00C32D8F" w:rsidRPr="00C32D8F">
          <w:rPr>
            <w:noProof/>
            <w:lang w:val="es-ES"/>
          </w:rPr>
          <w:t>1</w:t>
        </w:r>
        <w:r>
          <w:fldChar w:fldCharType="end"/>
        </w:r>
      </w:p>
    </w:sdtContent>
  </w:sdt>
  <w:p w14:paraId="0434A3E4" w14:textId="2F3E7D95" w:rsidR="009449B4" w:rsidRDefault="009449B4" w:rsidP="003677E2">
    <w:pPr>
      <w:pStyle w:val="Piedepgina"/>
      <w:ind w:left="-141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73BD" w14:textId="77777777" w:rsidR="003D2994" w:rsidRDefault="003D299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7B2E" w14:textId="39969116" w:rsidR="003677E2" w:rsidRDefault="003677E2" w:rsidP="00437C57">
    <w:pPr>
      <w:pStyle w:val="Piedepgina"/>
      <w:jc w:val="right"/>
      <w:rPr>
        <w:noProof/>
        <w:lang w:eastAsia="es-CL"/>
      </w:rPr>
    </w:pPr>
  </w:p>
  <w:p w14:paraId="1BAF622A" w14:textId="1669D5FC" w:rsidR="00480AC7" w:rsidRDefault="00480AC7" w:rsidP="003677E2">
    <w:pPr>
      <w:pStyle w:val="Piedepgina"/>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BA025" w14:textId="77777777" w:rsidR="00505367" w:rsidRDefault="00505367" w:rsidP="009449B4">
      <w:pPr>
        <w:spacing w:after="0" w:line="240" w:lineRule="auto"/>
      </w:pPr>
      <w:r>
        <w:separator/>
      </w:r>
    </w:p>
  </w:footnote>
  <w:footnote w:type="continuationSeparator" w:id="0">
    <w:p w14:paraId="3D8A5FF4" w14:textId="77777777" w:rsidR="00505367" w:rsidRDefault="00505367" w:rsidP="00944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DF02" w14:textId="77777777" w:rsidR="003D2994" w:rsidRDefault="003D29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B295" w14:textId="75B05268" w:rsidR="00A52E22" w:rsidRDefault="00A52E22">
    <w:pPr>
      <w:pStyle w:val="Encabezado"/>
    </w:pPr>
    <w:r w:rsidRPr="00A52E22">
      <w:rPr>
        <w:noProof/>
        <w:lang w:eastAsia="es-CL"/>
      </w:rPr>
      <w:drawing>
        <wp:anchor distT="0" distB="0" distL="114300" distR="114300" simplePos="0" relativeHeight="251657216" behindDoc="0" locked="0" layoutInCell="1" allowOverlap="1" wp14:anchorId="205573AE" wp14:editId="503261D9">
          <wp:simplePos x="0" y="0"/>
          <wp:positionH relativeFrom="margin">
            <wp:align>left</wp:align>
          </wp:positionH>
          <wp:positionV relativeFrom="paragraph">
            <wp:posOffset>171450</wp:posOffset>
          </wp:positionV>
          <wp:extent cx="352425" cy="400050"/>
          <wp:effectExtent l="0" t="0" r="9525" b="0"/>
          <wp:wrapSquare wrapText="bothSides"/>
          <wp:docPr id="438474047" name="Imagen 9"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n que contiene Gráfic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400050"/>
                  </a:xfrm>
                  <a:prstGeom prst="rect">
                    <a:avLst/>
                  </a:prstGeom>
                  <a:noFill/>
                </pic:spPr>
              </pic:pic>
            </a:graphicData>
          </a:graphic>
          <wp14:sizeRelH relativeFrom="margin">
            <wp14:pctWidth>0</wp14:pctWidth>
          </wp14:sizeRelH>
          <wp14:sizeRelV relativeFrom="margin">
            <wp14:pctHeight>0</wp14:pctHeight>
          </wp14:sizeRelV>
        </wp:anchor>
      </w:drawing>
    </w:r>
  </w:p>
  <w:p w14:paraId="29DCF827" w14:textId="724033EC" w:rsidR="00A52E22" w:rsidRDefault="00A52E22" w:rsidP="00A52E22">
    <w:pPr>
      <w:pStyle w:val="Encabezado"/>
    </w:pPr>
    <w:r>
      <w:t>Informes temáticos de Cierre</w:t>
    </w:r>
  </w:p>
  <w:p w14:paraId="00997F5D" w14:textId="37DE94E4" w:rsidR="00A52E22" w:rsidRPr="00A52E22" w:rsidRDefault="00A52E22" w:rsidP="00A52E22">
    <w:pPr>
      <w:pStyle w:val="Encabezado"/>
    </w:pPr>
    <w:r w:rsidRPr="00A52E22">
      <w:rPr>
        <w:noProof/>
        <w:lang w:eastAsia="es-CL"/>
      </w:rPr>
      <w:drawing>
        <wp:anchor distT="0" distB="0" distL="114300" distR="114300" simplePos="0" relativeHeight="251656192" behindDoc="0" locked="0" layoutInCell="1" allowOverlap="1" wp14:anchorId="09439436" wp14:editId="7102C91D">
          <wp:simplePos x="0" y="0"/>
          <wp:positionH relativeFrom="margin">
            <wp:align>left</wp:align>
          </wp:positionH>
          <wp:positionV relativeFrom="paragraph">
            <wp:posOffset>116205</wp:posOffset>
          </wp:positionV>
          <wp:extent cx="352425" cy="219075"/>
          <wp:effectExtent l="0" t="0" r="9525" b="9525"/>
          <wp:wrapSquare wrapText="bothSides"/>
          <wp:docPr id="525043437" name="Imagen 8"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98786" descr="Imagen que contiene Gráfic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pic:spPr>
              </pic:pic>
            </a:graphicData>
          </a:graphic>
          <wp14:sizeRelH relativeFrom="margin">
            <wp14:pctWidth>0</wp14:pctWidth>
          </wp14:sizeRelH>
          <wp14:sizeRelV relativeFrom="margin">
            <wp14:pctHeight>0</wp14:pctHeight>
          </wp14:sizeRelV>
        </wp:anchor>
      </w:drawing>
    </w:r>
    <w:r>
      <w:t>M</w:t>
    </w:r>
    <w:r w:rsidRPr="00A52E22">
      <w:t xml:space="preserve">inisterio de </w:t>
    </w:r>
    <w:r>
      <w:t>O</w:t>
    </w:r>
    <w:r w:rsidRPr="00A52E22">
      <w:t xml:space="preserve">bras </w:t>
    </w:r>
    <w:r>
      <w:t>P</w:t>
    </w:r>
    <w:r w:rsidRPr="00A52E22">
      <w:t xml:space="preserve">úblicas  </w:t>
    </w:r>
  </w:p>
  <w:p w14:paraId="1BB7B88D" w14:textId="363E3626" w:rsidR="00A52E22" w:rsidRPr="00A52E22" w:rsidRDefault="007A6156" w:rsidP="00A52E22">
    <w:pPr>
      <w:pStyle w:val="Encabezado"/>
    </w:pPr>
    <w:r>
      <w:t>Noviembre</w:t>
    </w:r>
    <w:r w:rsidR="00A52E22" w:rsidRPr="00A52E22">
      <w:t xml:space="preserve"> 2025</w:t>
    </w:r>
  </w:p>
  <w:p w14:paraId="722FC1AD" w14:textId="77777777" w:rsidR="00A52E22" w:rsidRPr="00A52E22" w:rsidRDefault="00A52E22" w:rsidP="00A52E22">
    <w:pPr>
      <w:pStyle w:val="Encabezado"/>
    </w:pPr>
  </w:p>
  <w:p w14:paraId="23C93307" w14:textId="52040F95" w:rsidR="000B0710" w:rsidRDefault="003677E2">
    <w:pPr>
      <w:pStyle w:val="Encabezado"/>
    </w:pPr>
    <w:r>
      <w:rPr>
        <w:noProof/>
        <w:lang w:eastAsia="es-CL"/>
      </w:rPr>
      <mc:AlternateContent>
        <mc:Choice Requires="wps">
          <w:drawing>
            <wp:anchor distT="0" distB="0" distL="114300" distR="114300" simplePos="0" relativeHeight="251655168" behindDoc="0" locked="0" layoutInCell="1" allowOverlap="1" wp14:anchorId="6017E888" wp14:editId="104099BA">
              <wp:simplePos x="0" y="0"/>
              <wp:positionH relativeFrom="column">
                <wp:posOffset>242570</wp:posOffset>
              </wp:positionH>
              <wp:positionV relativeFrom="paragraph">
                <wp:posOffset>266700</wp:posOffset>
              </wp:positionV>
              <wp:extent cx="1217930" cy="914400"/>
              <wp:effectExtent l="0" t="0" r="0" b="0"/>
              <wp:wrapNone/>
              <wp:docPr id="11" name="11 Cuadro de texto"/>
              <wp:cNvGraphicFramePr/>
              <a:graphic xmlns:a="http://schemas.openxmlformats.org/drawingml/2006/main">
                <a:graphicData uri="http://schemas.microsoft.com/office/word/2010/wordprocessingShape">
                  <wps:wsp>
                    <wps:cNvSpPr txBox="1"/>
                    <wps:spPr>
                      <a:xfrm>
                        <a:off x="0" y="0"/>
                        <a:ext cx="121793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147110" w14:textId="77777777" w:rsidR="003677E2" w:rsidRPr="003677E2" w:rsidRDefault="003677E2" w:rsidP="003677E2">
                          <w:pPr>
                            <w:spacing w:after="0"/>
                            <w:jc w:val="center"/>
                            <w:rPr>
                              <w:color w:val="FFFFFF" w:themeColor="background1"/>
                            </w:rPr>
                          </w:pPr>
                          <w:r w:rsidRPr="003677E2">
                            <w:rPr>
                              <w:color w:val="FFFFFF" w:themeColor="background1"/>
                            </w:rPr>
                            <w:t>ADMINISTRACIÓN</w:t>
                          </w:r>
                        </w:p>
                        <w:p w14:paraId="2A423A85" w14:textId="77777777" w:rsidR="003677E2" w:rsidRPr="003677E2" w:rsidRDefault="003677E2" w:rsidP="003677E2">
                          <w:pPr>
                            <w:spacing w:after="0"/>
                            <w:jc w:val="center"/>
                            <w:rPr>
                              <w:color w:val="FFFFFF" w:themeColor="background1"/>
                            </w:rPr>
                          </w:pPr>
                          <w:r w:rsidRPr="003677E2">
                            <w:rPr>
                              <w:color w:val="FFFFFF" w:themeColor="background1"/>
                            </w:rPr>
                            <w:t>Y NEGOCIOS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17E888" id="_x0000_t202" coordsize="21600,21600" o:spt="202" path="m,l,21600r21600,l21600,xe">
              <v:stroke joinstyle="miter"/>
              <v:path gradientshapeok="t" o:connecttype="rect"/>
            </v:shapetype>
            <v:shape id="11 Cuadro de texto" o:spid="_x0000_s1026" type="#_x0000_t202" style="position:absolute;left:0;text-align:left;margin-left:19.1pt;margin-top:21pt;width:95.9pt;height:1in;z-index:2516551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" filled="f" stroked="f" strokeweight=".5pt">
              <v:textbox>
                <w:txbxContent>
                  <w:p w14:paraId="0B147110" w14:textId="77777777" w:rsidR="003677E2" w:rsidRPr="003677E2" w:rsidRDefault="003677E2" w:rsidP="003677E2">
                    <w:pPr>
                      <w:spacing w:after="0"/>
                      <w:jc w:val="center"/>
                      <w:rPr>
                        <w:color w:val="FFFFFF" w:themeColor="background1"/>
                      </w:rPr>
                    </w:pPr>
                    <w:r w:rsidRPr="003677E2">
                      <w:rPr>
                        <w:color w:val="FFFFFF" w:themeColor="background1"/>
                      </w:rPr>
                      <w:t>ADMINISTRACIÓN</w:t>
                    </w:r>
                  </w:p>
                  <w:p w14:paraId="2A423A85" w14:textId="77777777" w:rsidR="003677E2" w:rsidRPr="003677E2" w:rsidRDefault="003677E2" w:rsidP="003677E2">
                    <w:pPr>
                      <w:spacing w:after="0"/>
                      <w:jc w:val="center"/>
                      <w:rPr>
                        <w:color w:val="FFFFFF" w:themeColor="background1"/>
                      </w:rPr>
                    </w:pPr>
                    <w:r w:rsidRPr="003677E2">
                      <w:rPr>
                        <w:color w:val="FFFFFF" w:themeColor="background1"/>
                      </w:rPr>
                      <w:t>Y NEGOCIOS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01B8" w14:textId="77777777" w:rsidR="003D2994" w:rsidRDefault="003D299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372E" w14:textId="77777777" w:rsidR="00A52E22" w:rsidRDefault="00A52E22" w:rsidP="00A52E22">
    <w:pPr>
      <w:pStyle w:val="Encabezado"/>
    </w:pPr>
    <w:r w:rsidRPr="00A52E22">
      <w:rPr>
        <w:noProof/>
        <w:lang w:eastAsia="es-CL"/>
      </w:rPr>
      <w:drawing>
        <wp:anchor distT="0" distB="0" distL="114300" distR="114300" simplePos="0" relativeHeight="251659264" behindDoc="0" locked="0" layoutInCell="1" allowOverlap="1" wp14:anchorId="2DC8E228" wp14:editId="0E98EFD3">
          <wp:simplePos x="0" y="0"/>
          <wp:positionH relativeFrom="margin">
            <wp:align>left</wp:align>
          </wp:positionH>
          <wp:positionV relativeFrom="paragraph">
            <wp:posOffset>171450</wp:posOffset>
          </wp:positionV>
          <wp:extent cx="352425" cy="400050"/>
          <wp:effectExtent l="0" t="0" r="9525" b="0"/>
          <wp:wrapSquare wrapText="bothSides"/>
          <wp:docPr id="1641960407" name="Imagen 9"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n que contiene Gráfic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400050"/>
                  </a:xfrm>
                  <a:prstGeom prst="rect">
                    <a:avLst/>
                  </a:prstGeom>
                  <a:noFill/>
                </pic:spPr>
              </pic:pic>
            </a:graphicData>
          </a:graphic>
          <wp14:sizeRelH relativeFrom="margin">
            <wp14:pctWidth>0</wp14:pctWidth>
          </wp14:sizeRelH>
          <wp14:sizeRelV relativeFrom="margin">
            <wp14:pctHeight>0</wp14:pctHeight>
          </wp14:sizeRelV>
        </wp:anchor>
      </w:drawing>
    </w:r>
  </w:p>
  <w:p w14:paraId="6888BF04" w14:textId="77777777" w:rsidR="00A52E22" w:rsidRDefault="00A52E22" w:rsidP="00A52E22">
    <w:pPr>
      <w:pStyle w:val="Encabezado"/>
    </w:pPr>
    <w:r>
      <w:t>Informes temáticos de Cierre</w:t>
    </w:r>
  </w:p>
  <w:p w14:paraId="6114FE74" w14:textId="77777777" w:rsidR="00A52E22" w:rsidRPr="00A52E22" w:rsidRDefault="00A52E22" w:rsidP="00A52E22">
    <w:pPr>
      <w:pStyle w:val="Encabezado"/>
    </w:pPr>
    <w:r w:rsidRPr="00A52E22">
      <w:rPr>
        <w:noProof/>
        <w:lang w:eastAsia="es-CL"/>
      </w:rPr>
      <w:drawing>
        <wp:anchor distT="0" distB="0" distL="114300" distR="114300" simplePos="0" relativeHeight="251658240" behindDoc="0" locked="0" layoutInCell="1" allowOverlap="1" wp14:anchorId="1C353C95" wp14:editId="4161EC2E">
          <wp:simplePos x="0" y="0"/>
          <wp:positionH relativeFrom="margin">
            <wp:align>left</wp:align>
          </wp:positionH>
          <wp:positionV relativeFrom="paragraph">
            <wp:posOffset>116205</wp:posOffset>
          </wp:positionV>
          <wp:extent cx="352425" cy="219075"/>
          <wp:effectExtent l="0" t="0" r="9525" b="9525"/>
          <wp:wrapSquare wrapText="bothSides"/>
          <wp:docPr id="1228765930" name="Imagen 8"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98786" descr="Imagen que contiene Gráfic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pic:spPr>
              </pic:pic>
            </a:graphicData>
          </a:graphic>
          <wp14:sizeRelH relativeFrom="margin">
            <wp14:pctWidth>0</wp14:pctWidth>
          </wp14:sizeRelH>
          <wp14:sizeRelV relativeFrom="margin">
            <wp14:pctHeight>0</wp14:pctHeight>
          </wp14:sizeRelV>
        </wp:anchor>
      </w:drawing>
    </w:r>
    <w:r>
      <w:t>M</w:t>
    </w:r>
    <w:r w:rsidRPr="00A52E22">
      <w:t xml:space="preserve">inisterio de </w:t>
    </w:r>
    <w:r>
      <w:t>O</w:t>
    </w:r>
    <w:r w:rsidRPr="00A52E22">
      <w:t xml:space="preserve">bras </w:t>
    </w:r>
    <w:r>
      <w:t>P</w:t>
    </w:r>
    <w:r w:rsidRPr="00A52E22">
      <w:t xml:space="preserve">úblicas  </w:t>
    </w:r>
  </w:p>
  <w:p w14:paraId="7D728799" w14:textId="60BCD12E" w:rsidR="00A52E22" w:rsidRPr="00A52E22" w:rsidRDefault="007A6156" w:rsidP="00A52E22">
    <w:pPr>
      <w:pStyle w:val="Encabezado"/>
    </w:pPr>
    <w:r>
      <w:t>Noviembre</w:t>
    </w:r>
    <w:r w:rsidR="00A52E22" w:rsidRPr="00A52E22">
      <w:t xml:space="preserve"> 2025</w:t>
    </w:r>
  </w:p>
  <w:p w14:paraId="3B933341" w14:textId="4D0C6824" w:rsidR="00480AC7" w:rsidRDefault="00480A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576D"/>
    <w:multiLevelType w:val="hybridMultilevel"/>
    <w:tmpl w:val="8C96E2A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ED1491E"/>
    <w:multiLevelType w:val="hybridMultilevel"/>
    <w:tmpl w:val="880A79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1967E12"/>
    <w:multiLevelType w:val="hybridMultilevel"/>
    <w:tmpl w:val="859420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A3A088D"/>
    <w:multiLevelType w:val="hybridMultilevel"/>
    <w:tmpl w:val="8E8296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C8A4DAC"/>
    <w:multiLevelType w:val="hybridMultilevel"/>
    <w:tmpl w:val="2CC49EE0"/>
    <w:lvl w:ilvl="0" w:tplc="86F87400">
      <w:start w:val="1"/>
      <w:numFmt w:val="bullet"/>
      <w:lvlText w:val="‐"/>
      <w:lvlJc w:val="left"/>
      <w:pPr>
        <w:ind w:left="720" w:hanging="360"/>
      </w:pPr>
      <w:rPr>
        <w:rFonts w:ascii="Calibri" w:hAnsi="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460D2990"/>
    <w:multiLevelType w:val="hybridMultilevel"/>
    <w:tmpl w:val="732CE73E"/>
    <w:lvl w:ilvl="0" w:tplc="86F87400">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80D712A"/>
    <w:multiLevelType w:val="multilevel"/>
    <w:tmpl w:val="340A0025"/>
    <w:lvl w:ilvl="0">
      <w:start w:val="1"/>
      <w:numFmt w:val="decimal"/>
      <w:pStyle w:val="Ttulo1"/>
      <w:lvlText w:val="%1"/>
      <w:lvlJc w:val="left"/>
      <w:pPr>
        <w:ind w:left="1141"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49D70C88"/>
    <w:multiLevelType w:val="hybridMultilevel"/>
    <w:tmpl w:val="C7580E2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B402C5E"/>
    <w:multiLevelType w:val="hybridMultilevel"/>
    <w:tmpl w:val="BC6895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4E9B63B7"/>
    <w:multiLevelType w:val="hybridMultilevel"/>
    <w:tmpl w:val="505094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1D939AE"/>
    <w:multiLevelType w:val="hybridMultilevel"/>
    <w:tmpl w:val="29608B62"/>
    <w:lvl w:ilvl="0" w:tplc="86F87400">
      <w:start w:val="1"/>
      <w:numFmt w:val="bullet"/>
      <w:lvlText w:val="‐"/>
      <w:lvlJc w:val="left"/>
      <w:pPr>
        <w:ind w:left="1428" w:hanging="360"/>
      </w:pPr>
      <w:rPr>
        <w:rFonts w:ascii="Calibri" w:hAnsi="Calibri"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1" w15:restartNumberingAfterBreak="0">
    <w:nsid w:val="64293289"/>
    <w:multiLevelType w:val="hybridMultilevel"/>
    <w:tmpl w:val="59F457E6"/>
    <w:lvl w:ilvl="0" w:tplc="86F87400">
      <w:start w:val="1"/>
      <w:numFmt w:val="bullet"/>
      <w:lvlText w:val="‐"/>
      <w:lvlJc w:val="left"/>
      <w:pPr>
        <w:ind w:left="720" w:hanging="360"/>
      </w:pPr>
      <w:rPr>
        <w:rFonts w:ascii="Calibri" w:hAnsi="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6824CFC4"/>
    <w:multiLevelType w:val="hybridMultilevel"/>
    <w:tmpl w:val="3A089CB0"/>
    <w:lvl w:ilvl="0" w:tplc="BC96802C">
      <w:start w:val="1"/>
      <w:numFmt w:val="bullet"/>
      <w:lvlText w:val=""/>
      <w:lvlJc w:val="left"/>
      <w:pPr>
        <w:ind w:left="720" w:hanging="360"/>
      </w:pPr>
      <w:rPr>
        <w:rFonts w:ascii="Symbol" w:hAnsi="Symbol" w:hint="default"/>
      </w:rPr>
    </w:lvl>
    <w:lvl w:ilvl="1" w:tplc="BC9412C4">
      <w:start w:val="1"/>
      <w:numFmt w:val="bullet"/>
      <w:lvlText w:val="o"/>
      <w:lvlJc w:val="left"/>
      <w:pPr>
        <w:ind w:left="1440" w:hanging="360"/>
      </w:pPr>
      <w:rPr>
        <w:rFonts w:ascii="Courier New" w:hAnsi="Courier New" w:hint="default"/>
      </w:rPr>
    </w:lvl>
    <w:lvl w:ilvl="2" w:tplc="29C2841C">
      <w:start w:val="1"/>
      <w:numFmt w:val="bullet"/>
      <w:lvlText w:val=""/>
      <w:lvlJc w:val="left"/>
      <w:pPr>
        <w:ind w:left="2160" w:hanging="360"/>
      </w:pPr>
      <w:rPr>
        <w:rFonts w:ascii="Wingdings" w:hAnsi="Wingdings" w:hint="default"/>
      </w:rPr>
    </w:lvl>
    <w:lvl w:ilvl="3" w:tplc="8546731A">
      <w:start w:val="1"/>
      <w:numFmt w:val="bullet"/>
      <w:lvlText w:val=""/>
      <w:lvlJc w:val="left"/>
      <w:pPr>
        <w:ind w:left="2880" w:hanging="360"/>
      </w:pPr>
      <w:rPr>
        <w:rFonts w:ascii="Symbol" w:hAnsi="Symbol" w:hint="default"/>
      </w:rPr>
    </w:lvl>
    <w:lvl w:ilvl="4" w:tplc="3718E2B0">
      <w:start w:val="1"/>
      <w:numFmt w:val="bullet"/>
      <w:lvlText w:val="o"/>
      <w:lvlJc w:val="left"/>
      <w:pPr>
        <w:ind w:left="3600" w:hanging="360"/>
      </w:pPr>
      <w:rPr>
        <w:rFonts w:ascii="Courier New" w:hAnsi="Courier New" w:hint="default"/>
      </w:rPr>
    </w:lvl>
    <w:lvl w:ilvl="5" w:tplc="030E7B74">
      <w:start w:val="1"/>
      <w:numFmt w:val="bullet"/>
      <w:lvlText w:val=""/>
      <w:lvlJc w:val="left"/>
      <w:pPr>
        <w:ind w:left="4320" w:hanging="360"/>
      </w:pPr>
      <w:rPr>
        <w:rFonts w:ascii="Wingdings" w:hAnsi="Wingdings" w:hint="default"/>
      </w:rPr>
    </w:lvl>
    <w:lvl w:ilvl="6" w:tplc="A3F219FA">
      <w:start w:val="1"/>
      <w:numFmt w:val="bullet"/>
      <w:lvlText w:val=""/>
      <w:lvlJc w:val="left"/>
      <w:pPr>
        <w:ind w:left="5040" w:hanging="360"/>
      </w:pPr>
      <w:rPr>
        <w:rFonts w:ascii="Symbol" w:hAnsi="Symbol" w:hint="default"/>
      </w:rPr>
    </w:lvl>
    <w:lvl w:ilvl="7" w:tplc="D5F22AD2">
      <w:start w:val="1"/>
      <w:numFmt w:val="bullet"/>
      <w:lvlText w:val="o"/>
      <w:lvlJc w:val="left"/>
      <w:pPr>
        <w:ind w:left="5760" w:hanging="360"/>
      </w:pPr>
      <w:rPr>
        <w:rFonts w:ascii="Courier New" w:hAnsi="Courier New" w:hint="default"/>
      </w:rPr>
    </w:lvl>
    <w:lvl w:ilvl="8" w:tplc="30F45C96">
      <w:start w:val="1"/>
      <w:numFmt w:val="bullet"/>
      <w:lvlText w:val=""/>
      <w:lvlJc w:val="left"/>
      <w:pPr>
        <w:ind w:left="6480" w:hanging="360"/>
      </w:pPr>
      <w:rPr>
        <w:rFonts w:ascii="Wingdings" w:hAnsi="Wingdings" w:hint="default"/>
      </w:rPr>
    </w:lvl>
  </w:abstractNum>
  <w:abstractNum w:abstractNumId="13" w15:restartNumberingAfterBreak="0">
    <w:nsid w:val="714942EC"/>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E64A35"/>
    <w:multiLevelType w:val="hybridMultilevel"/>
    <w:tmpl w:val="4C4A1A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202719597">
    <w:abstractNumId w:val="7"/>
  </w:num>
  <w:num w:numId="2" w16cid:durableId="466240218">
    <w:abstractNumId w:val="6"/>
  </w:num>
  <w:num w:numId="3" w16cid:durableId="2049639938">
    <w:abstractNumId w:val="2"/>
  </w:num>
  <w:num w:numId="4" w16cid:durableId="977538587">
    <w:abstractNumId w:val="11"/>
  </w:num>
  <w:num w:numId="5" w16cid:durableId="623467932">
    <w:abstractNumId w:val="5"/>
  </w:num>
  <w:num w:numId="6" w16cid:durableId="1093353527">
    <w:abstractNumId w:val="10"/>
  </w:num>
  <w:num w:numId="7" w16cid:durableId="1694262321">
    <w:abstractNumId w:val="13"/>
  </w:num>
  <w:num w:numId="8" w16cid:durableId="1906717099">
    <w:abstractNumId w:val="6"/>
  </w:num>
  <w:num w:numId="9" w16cid:durableId="483163279">
    <w:abstractNumId w:val="4"/>
  </w:num>
  <w:num w:numId="10" w16cid:durableId="978681111">
    <w:abstractNumId w:val="12"/>
  </w:num>
  <w:num w:numId="11" w16cid:durableId="335886863">
    <w:abstractNumId w:val="0"/>
  </w:num>
  <w:num w:numId="12" w16cid:durableId="1448043306">
    <w:abstractNumId w:val="3"/>
  </w:num>
  <w:num w:numId="13" w16cid:durableId="407507751">
    <w:abstractNumId w:val="9"/>
  </w:num>
  <w:num w:numId="14" w16cid:durableId="84232172">
    <w:abstractNumId w:val="8"/>
  </w:num>
  <w:num w:numId="15" w16cid:durableId="1939831236">
    <w:abstractNumId w:val="1"/>
  </w:num>
  <w:num w:numId="16" w16cid:durableId="9358685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9B4"/>
    <w:rsid w:val="0001780A"/>
    <w:rsid w:val="0004083B"/>
    <w:rsid w:val="00042B15"/>
    <w:rsid w:val="000924E6"/>
    <w:rsid w:val="000A113D"/>
    <w:rsid w:val="000A349A"/>
    <w:rsid w:val="000B0710"/>
    <w:rsid w:val="000E4F00"/>
    <w:rsid w:val="00100EEA"/>
    <w:rsid w:val="00110207"/>
    <w:rsid w:val="001B4265"/>
    <w:rsid w:val="001C1CF0"/>
    <w:rsid w:val="001D3603"/>
    <w:rsid w:val="001D5E1D"/>
    <w:rsid w:val="00204EB8"/>
    <w:rsid w:val="00217244"/>
    <w:rsid w:val="002300B6"/>
    <w:rsid w:val="002304E2"/>
    <w:rsid w:val="0023431C"/>
    <w:rsid w:val="00253B9D"/>
    <w:rsid w:val="00274D4F"/>
    <w:rsid w:val="002A06C6"/>
    <w:rsid w:val="002A23B5"/>
    <w:rsid w:val="002B569F"/>
    <w:rsid w:val="002C6D07"/>
    <w:rsid w:val="002E04FF"/>
    <w:rsid w:val="002F3221"/>
    <w:rsid w:val="002F68C2"/>
    <w:rsid w:val="003072EC"/>
    <w:rsid w:val="00314BAC"/>
    <w:rsid w:val="00352590"/>
    <w:rsid w:val="003608B9"/>
    <w:rsid w:val="00361078"/>
    <w:rsid w:val="003677E2"/>
    <w:rsid w:val="003739BF"/>
    <w:rsid w:val="0039487B"/>
    <w:rsid w:val="003B52EE"/>
    <w:rsid w:val="003D1C06"/>
    <w:rsid w:val="003D2994"/>
    <w:rsid w:val="003D4344"/>
    <w:rsid w:val="0043365B"/>
    <w:rsid w:val="00437C57"/>
    <w:rsid w:val="00443953"/>
    <w:rsid w:val="004721F8"/>
    <w:rsid w:val="00480AC7"/>
    <w:rsid w:val="00487F2F"/>
    <w:rsid w:val="004A41BA"/>
    <w:rsid w:val="004F3EEE"/>
    <w:rsid w:val="00505367"/>
    <w:rsid w:val="0053270F"/>
    <w:rsid w:val="00567C1A"/>
    <w:rsid w:val="00582E60"/>
    <w:rsid w:val="00587A36"/>
    <w:rsid w:val="005906A1"/>
    <w:rsid w:val="00595F4F"/>
    <w:rsid w:val="005D07FC"/>
    <w:rsid w:val="006014B2"/>
    <w:rsid w:val="0061048A"/>
    <w:rsid w:val="0061258D"/>
    <w:rsid w:val="00631B38"/>
    <w:rsid w:val="00651E53"/>
    <w:rsid w:val="0068444F"/>
    <w:rsid w:val="00697D16"/>
    <w:rsid w:val="006B2F1F"/>
    <w:rsid w:val="006C2789"/>
    <w:rsid w:val="006D3D32"/>
    <w:rsid w:val="006D6823"/>
    <w:rsid w:val="006E7C44"/>
    <w:rsid w:val="006F377F"/>
    <w:rsid w:val="00705F90"/>
    <w:rsid w:val="00713F1C"/>
    <w:rsid w:val="00714783"/>
    <w:rsid w:val="007166E2"/>
    <w:rsid w:val="00794492"/>
    <w:rsid w:val="007A6156"/>
    <w:rsid w:val="007B231A"/>
    <w:rsid w:val="007C0F3D"/>
    <w:rsid w:val="0080745A"/>
    <w:rsid w:val="00895568"/>
    <w:rsid w:val="00896887"/>
    <w:rsid w:val="008A2137"/>
    <w:rsid w:val="008A4E45"/>
    <w:rsid w:val="008E24F9"/>
    <w:rsid w:val="008F17DD"/>
    <w:rsid w:val="009359EC"/>
    <w:rsid w:val="009449B4"/>
    <w:rsid w:val="0097016C"/>
    <w:rsid w:val="00973B24"/>
    <w:rsid w:val="009A70AC"/>
    <w:rsid w:val="009B0209"/>
    <w:rsid w:val="009D6BB3"/>
    <w:rsid w:val="009D7013"/>
    <w:rsid w:val="009D7324"/>
    <w:rsid w:val="009E5227"/>
    <w:rsid w:val="00A342F2"/>
    <w:rsid w:val="00A52E22"/>
    <w:rsid w:val="00A56CBC"/>
    <w:rsid w:val="00A60818"/>
    <w:rsid w:val="00A7347A"/>
    <w:rsid w:val="00A821DF"/>
    <w:rsid w:val="00A845D6"/>
    <w:rsid w:val="00AC10CB"/>
    <w:rsid w:val="00AC1CD4"/>
    <w:rsid w:val="00AF7D5B"/>
    <w:rsid w:val="00B13AD9"/>
    <w:rsid w:val="00B406B3"/>
    <w:rsid w:val="00B40BDC"/>
    <w:rsid w:val="00B5684A"/>
    <w:rsid w:val="00B71BFB"/>
    <w:rsid w:val="00B74D24"/>
    <w:rsid w:val="00B77DD2"/>
    <w:rsid w:val="00B83061"/>
    <w:rsid w:val="00BF03DC"/>
    <w:rsid w:val="00C32D8F"/>
    <w:rsid w:val="00C34664"/>
    <w:rsid w:val="00C7688B"/>
    <w:rsid w:val="00C940B4"/>
    <w:rsid w:val="00CC4E9B"/>
    <w:rsid w:val="00CC770D"/>
    <w:rsid w:val="00CD052E"/>
    <w:rsid w:val="00CF528D"/>
    <w:rsid w:val="00D11C63"/>
    <w:rsid w:val="00D21432"/>
    <w:rsid w:val="00D42B07"/>
    <w:rsid w:val="00D5472C"/>
    <w:rsid w:val="00DA75F5"/>
    <w:rsid w:val="00DD3051"/>
    <w:rsid w:val="00DD3448"/>
    <w:rsid w:val="00DF292E"/>
    <w:rsid w:val="00DF3AA7"/>
    <w:rsid w:val="00E11099"/>
    <w:rsid w:val="00E24F2B"/>
    <w:rsid w:val="00E66ECB"/>
    <w:rsid w:val="00E87248"/>
    <w:rsid w:val="00E94347"/>
    <w:rsid w:val="00EC531A"/>
    <w:rsid w:val="00F002C3"/>
    <w:rsid w:val="00F620A0"/>
    <w:rsid w:val="00F62EA0"/>
    <w:rsid w:val="00F81E76"/>
    <w:rsid w:val="00FE4C14"/>
    <w:rsid w:val="01726130"/>
    <w:rsid w:val="02ACAFDA"/>
    <w:rsid w:val="0868F6C8"/>
    <w:rsid w:val="0B36BDE5"/>
    <w:rsid w:val="0BBC845F"/>
    <w:rsid w:val="0D31E948"/>
    <w:rsid w:val="0D62EB8C"/>
    <w:rsid w:val="0DD24BED"/>
    <w:rsid w:val="0DE788A8"/>
    <w:rsid w:val="0FECD4F8"/>
    <w:rsid w:val="10AC0BDE"/>
    <w:rsid w:val="11741681"/>
    <w:rsid w:val="117C9415"/>
    <w:rsid w:val="139D8E50"/>
    <w:rsid w:val="148F6D26"/>
    <w:rsid w:val="14F047F8"/>
    <w:rsid w:val="16FC1A46"/>
    <w:rsid w:val="17303438"/>
    <w:rsid w:val="18225B68"/>
    <w:rsid w:val="18DB8440"/>
    <w:rsid w:val="1C317583"/>
    <w:rsid w:val="1C62C74E"/>
    <w:rsid w:val="1CAD3AC7"/>
    <w:rsid w:val="1CD08E93"/>
    <w:rsid w:val="1CE2F498"/>
    <w:rsid w:val="1D16E441"/>
    <w:rsid w:val="1D8B456C"/>
    <w:rsid w:val="1DB1CD32"/>
    <w:rsid w:val="1DBED307"/>
    <w:rsid w:val="1DE0AFFA"/>
    <w:rsid w:val="1E0386DB"/>
    <w:rsid w:val="1E14D034"/>
    <w:rsid w:val="1E5E4375"/>
    <w:rsid w:val="1E9A458B"/>
    <w:rsid w:val="2033E604"/>
    <w:rsid w:val="21F61A56"/>
    <w:rsid w:val="22EBAFC0"/>
    <w:rsid w:val="231C873A"/>
    <w:rsid w:val="23AE18AF"/>
    <w:rsid w:val="24638F99"/>
    <w:rsid w:val="24E52D10"/>
    <w:rsid w:val="2547F9AA"/>
    <w:rsid w:val="2598D2E7"/>
    <w:rsid w:val="27573ADD"/>
    <w:rsid w:val="2887373B"/>
    <w:rsid w:val="289EE394"/>
    <w:rsid w:val="29C0830B"/>
    <w:rsid w:val="29D6A58D"/>
    <w:rsid w:val="2A9B81CC"/>
    <w:rsid w:val="2AF85A11"/>
    <w:rsid w:val="2D8FAA2C"/>
    <w:rsid w:val="2E168C3B"/>
    <w:rsid w:val="2EB405A4"/>
    <w:rsid w:val="2F45B133"/>
    <w:rsid w:val="30769EFC"/>
    <w:rsid w:val="32019486"/>
    <w:rsid w:val="3246F83C"/>
    <w:rsid w:val="32A15D17"/>
    <w:rsid w:val="353DC145"/>
    <w:rsid w:val="35659C6B"/>
    <w:rsid w:val="35745374"/>
    <w:rsid w:val="3679A513"/>
    <w:rsid w:val="36B9EDAE"/>
    <w:rsid w:val="37A76CA8"/>
    <w:rsid w:val="380398F0"/>
    <w:rsid w:val="38C3C865"/>
    <w:rsid w:val="3A0F02A2"/>
    <w:rsid w:val="3AC16832"/>
    <w:rsid w:val="3ADBE5E1"/>
    <w:rsid w:val="3B091A9D"/>
    <w:rsid w:val="3B38BF98"/>
    <w:rsid w:val="3C1AD28C"/>
    <w:rsid w:val="3D3E0D71"/>
    <w:rsid w:val="3EE0A5AD"/>
    <w:rsid w:val="4048168D"/>
    <w:rsid w:val="40EE2FE5"/>
    <w:rsid w:val="40F1982F"/>
    <w:rsid w:val="4197B51D"/>
    <w:rsid w:val="424B03B3"/>
    <w:rsid w:val="43974895"/>
    <w:rsid w:val="440FD726"/>
    <w:rsid w:val="442CFC9E"/>
    <w:rsid w:val="443D2EB8"/>
    <w:rsid w:val="44437CF4"/>
    <w:rsid w:val="450FD229"/>
    <w:rsid w:val="46AA94D1"/>
    <w:rsid w:val="471DB750"/>
    <w:rsid w:val="48164D10"/>
    <w:rsid w:val="48603740"/>
    <w:rsid w:val="48C23DE0"/>
    <w:rsid w:val="49A181D8"/>
    <w:rsid w:val="4A560BC0"/>
    <w:rsid w:val="4A7BAA43"/>
    <w:rsid w:val="4A9439ED"/>
    <w:rsid w:val="4DBA21A9"/>
    <w:rsid w:val="4E3521D2"/>
    <w:rsid w:val="4EF3EA9C"/>
    <w:rsid w:val="4F4E430F"/>
    <w:rsid w:val="50256951"/>
    <w:rsid w:val="52BA8603"/>
    <w:rsid w:val="53B8B5DB"/>
    <w:rsid w:val="541D3397"/>
    <w:rsid w:val="5453DBEB"/>
    <w:rsid w:val="55E7D29C"/>
    <w:rsid w:val="5601A6C9"/>
    <w:rsid w:val="577AC13B"/>
    <w:rsid w:val="5815B455"/>
    <w:rsid w:val="5A28AB11"/>
    <w:rsid w:val="5BF622C1"/>
    <w:rsid w:val="5C98C013"/>
    <w:rsid w:val="5CA52CA1"/>
    <w:rsid w:val="5D7BC90C"/>
    <w:rsid w:val="5FA2561E"/>
    <w:rsid w:val="6009B2DC"/>
    <w:rsid w:val="61094452"/>
    <w:rsid w:val="623F6A52"/>
    <w:rsid w:val="646B66A1"/>
    <w:rsid w:val="64721309"/>
    <w:rsid w:val="6476E3CE"/>
    <w:rsid w:val="67C9CB3F"/>
    <w:rsid w:val="680781B2"/>
    <w:rsid w:val="69B6AC4E"/>
    <w:rsid w:val="69C0AFB6"/>
    <w:rsid w:val="69D1AD56"/>
    <w:rsid w:val="6A2EEBC2"/>
    <w:rsid w:val="6A9F94AE"/>
    <w:rsid w:val="6B218F66"/>
    <w:rsid w:val="6B5CDEA4"/>
    <w:rsid w:val="6BFC10E7"/>
    <w:rsid w:val="6C27773E"/>
    <w:rsid w:val="6CDB980E"/>
    <w:rsid w:val="70B4772D"/>
    <w:rsid w:val="70B59CCD"/>
    <w:rsid w:val="70D7BA91"/>
    <w:rsid w:val="71094C69"/>
    <w:rsid w:val="727C9CED"/>
    <w:rsid w:val="729B3FDF"/>
    <w:rsid w:val="72A366FB"/>
    <w:rsid w:val="738AE0B8"/>
    <w:rsid w:val="76343B2B"/>
    <w:rsid w:val="76B6D3C1"/>
    <w:rsid w:val="77217F78"/>
    <w:rsid w:val="77DAE75E"/>
    <w:rsid w:val="78B4083D"/>
    <w:rsid w:val="79515100"/>
    <w:rsid w:val="798AC501"/>
    <w:rsid w:val="79B20B9E"/>
    <w:rsid w:val="7A77C07C"/>
    <w:rsid w:val="7AA3AC13"/>
    <w:rsid w:val="7B4608B3"/>
    <w:rsid w:val="7B787543"/>
    <w:rsid w:val="7BA1EE2D"/>
    <w:rsid w:val="7C54E482"/>
    <w:rsid w:val="7D143268"/>
    <w:rsid w:val="7E60E128"/>
    <w:rsid w:val="7ED05844"/>
    <w:rsid w:val="7ED6E560"/>
    <w:rsid w:val="7F61BC8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A07CBE"/>
  <w15:docId w15:val="{1B939B28-BE12-47EB-88C4-5BD40840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818"/>
    <w:pPr>
      <w:jc w:val="both"/>
    </w:pPr>
  </w:style>
  <w:style w:type="paragraph" w:styleId="Ttulo1">
    <w:name w:val="heading 1"/>
    <w:basedOn w:val="Normal"/>
    <w:next w:val="Normal"/>
    <w:link w:val="Ttulo1Car"/>
    <w:uiPriority w:val="9"/>
    <w:qFormat/>
    <w:rsid w:val="001B4265"/>
    <w:pPr>
      <w:keepNext/>
      <w:keepLines/>
      <w:numPr>
        <w:numId w:val="2"/>
      </w:numPr>
      <w:spacing w:before="240" w:after="0"/>
      <w:ind w:left="432"/>
      <w:outlineLvl w:val="0"/>
    </w:pPr>
    <w:rPr>
      <w:rFonts w:ascii="Times New Roman" w:eastAsiaTheme="majorEastAsia" w:hAnsi="Times New Roman" w:cstheme="majorBidi"/>
      <w:b/>
      <w:color w:val="FF0000"/>
      <w:sz w:val="32"/>
      <w:szCs w:val="32"/>
    </w:rPr>
  </w:style>
  <w:style w:type="paragraph" w:styleId="Ttulo2">
    <w:name w:val="heading 2"/>
    <w:basedOn w:val="Normal"/>
    <w:next w:val="Normal"/>
    <w:link w:val="Ttulo2Car"/>
    <w:uiPriority w:val="9"/>
    <w:unhideWhenUsed/>
    <w:qFormat/>
    <w:rsid w:val="009B0209"/>
    <w:pPr>
      <w:keepNext/>
      <w:keepLines/>
      <w:numPr>
        <w:ilvl w:val="1"/>
        <w:numId w:val="2"/>
      </w:numPr>
      <w:spacing w:before="40" w:after="0"/>
      <w:outlineLvl w:val="1"/>
    </w:pPr>
    <w:rPr>
      <w:rFonts w:asciiTheme="majorHAnsi" w:eastAsiaTheme="majorEastAsia" w:hAnsiTheme="majorHAnsi" w:cstheme="majorBidi"/>
      <w:color w:val="FF0000"/>
      <w:sz w:val="26"/>
      <w:szCs w:val="26"/>
    </w:rPr>
  </w:style>
  <w:style w:type="paragraph" w:styleId="Ttulo3">
    <w:name w:val="heading 3"/>
    <w:basedOn w:val="Normal"/>
    <w:next w:val="Normal"/>
    <w:link w:val="Ttulo3Car"/>
    <w:uiPriority w:val="9"/>
    <w:semiHidden/>
    <w:unhideWhenUsed/>
    <w:qFormat/>
    <w:rsid w:val="00C7688B"/>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C7688B"/>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C7688B"/>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C7688B"/>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C7688B"/>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C7688B"/>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7688B"/>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49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49B4"/>
  </w:style>
  <w:style w:type="paragraph" w:styleId="Piedepgina">
    <w:name w:val="footer"/>
    <w:basedOn w:val="Normal"/>
    <w:link w:val="PiedepginaCar"/>
    <w:uiPriority w:val="99"/>
    <w:unhideWhenUsed/>
    <w:rsid w:val="009449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49B4"/>
  </w:style>
  <w:style w:type="character" w:customStyle="1" w:styleId="Ttulo1Car">
    <w:name w:val="Título 1 Car"/>
    <w:basedOn w:val="Fuentedeprrafopredeter"/>
    <w:link w:val="Ttulo1"/>
    <w:uiPriority w:val="9"/>
    <w:rsid w:val="001B4265"/>
    <w:rPr>
      <w:rFonts w:ascii="Times New Roman" w:eastAsiaTheme="majorEastAsia" w:hAnsi="Times New Roman" w:cstheme="majorBidi"/>
      <w:b/>
      <w:color w:val="FF0000"/>
      <w:sz w:val="32"/>
      <w:szCs w:val="32"/>
    </w:rPr>
  </w:style>
  <w:style w:type="character" w:styleId="Nmerodepgina">
    <w:name w:val="page number"/>
    <w:basedOn w:val="Fuentedeprrafopredeter"/>
    <w:uiPriority w:val="99"/>
    <w:unhideWhenUsed/>
    <w:rsid w:val="008F17DD"/>
  </w:style>
  <w:style w:type="paragraph" w:styleId="Prrafodelista">
    <w:name w:val="List Paragraph"/>
    <w:basedOn w:val="Normal"/>
    <w:uiPriority w:val="34"/>
    <w:qFormat/>
    <w:rsid w:val="008F17DD"/>
    <w:pPr>
      <w:ind w:left="720"/>
      <w:contextualSpacing/>
    </w:pPr>
  </w:style>
  <w:style w:type="paragraph" w:styleId="Textodeglobo">
    <w:name w:val="Balloon Text"/>
    <w:basedOn w:val="Normal"/>
    <w:link w:val="TextodegloboCar"/>
    <w:uiPriority w:val="99"/>
    <w:semiHidden/>
    <w:unhideWhenUsed/>
    <w:rsid w:val="002F68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68C2"/>
    <w:rPr>
      <w:rFonts w:ascii="Segoe UI" w:hAnsi="Segoe UI" w:cs="Segoe UI"/>
      <w:sz w:val="18"/>
      <w:szCs w:val="18"/>
    </w:rPr>
  </w:style>
  <w:style w:type="character" w:styleId="Ttulodellibro">
    <w:name w:val="Book Title"/>
    <w:basedOn w:val="Fuentedeprrafopredeter"/>
    <w:uiPriority w:val="33"/>
    <w:qFormat/>
    <w:rsid w:val="00F620A0"/>
    <w:rPr>
      <w:b/>
      <w:bCs/>
      <w:i/>
      <w:iCs/>
      <w:spacing w:val="5"/>
    </w:rPr>
  </w:style>
  <w:style w:type="character" w:customStyle="1" w:styleId="Ttulo2Car">
    <w:name w:val="Título 2 Car"/>
    <w:basedOn w:val="Fuentedeprrafopredeter"/>
    <w:link w:val="Ttulo2"/>
    <w:uiPriority w:val="9"/>
    <w:rsid w:val="009B0209"/>
    <w:rPr>
      <w:rFonts w:asciiTheme="majorHAnsi" w:eastAsiaTheme="majorEastAsia" w:hAnsiTheme="majorHAnsi" w:cstheme="majorBidi"/>
      <w:color w:val="FF0000"/>
      <w:sz w:val="26"/>
      <w:szCs w:val="26"/>
    </w:rPr>
  </w:style>
  <w:style w:type="character" w:customStyle="1" w:styleId="Ttulo3Car">
    <w:name w:val="Título 3 Car"/>
    <w:basedOn w:val="Fuentedeprrafopredeter"/>
    <w:link w:val="Ttulo3"/>
    <w:uiPriority w:val="9"/>
    <w:semiHidden/>
    <w:rsid w:val="00C7688B"/>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C7688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C7688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C7688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C7688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C7688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C7688B"/>
    <w:rPr>
      <w:rFonts w:asciiTheme="majorHAnsi" w:eastAsiaTheme="majorEastAsia" w:hAnsiTheme="majorHAnsi" w:cstheme="majorBidi"/>
      <w:i/>
      <w:iCs/>
      <w:color w:val="272727" w:themeColor="text1" w:themeTint="D8"/>
      <w:sz w:val="21"/>
      <w:szCs w:val="21"/>
    </w:rPr>
  </w:style>
  <w:style w:type="character" w:styleId="nfasissutil">
    <w:name w:val="Subtle Emphasis"/>
    <w:basedOn w:val="Fuentedeprrafopredeter"/>
    <w:uiPriority w:val="19"/>
    <w:qFormat/>
    <w:rsid w:val="006D3D32"/>
    <w:rPr>
      <w:i/>
      <w:iCs/>
      <w:color w:val="404040" w:themeColor="text1" w:themeTint="BF"/>
    </w:rPr>
  </w:style>
  <w:style w:type="paragraph" w:styleId="TtuloTDC">
    <w:name w:val="TOC Heading"/>
    <w:basedOn w:val="Ttulo1"/>
    <w:next w:val="Normal"/>
    <w:uiPriority w:val="39"/>
    <w:unhideWhenUsed/>
    <w:qFormat/>
    <w:rsid w:val="001B4265"/>
    <w:pPr>
      <w:numPr>
        <w:numId w:val="0"/>
      </w:numPr>
      <w:jc w:val="left"/>
      <w:outlineLvl w:val="9"/>
    </w:pPr>
    <w:rPr>
      <w:rFonts w:asciiTheme="majorHAnsi" w:hAnsiTheme="majorHAnsi"/>
      <w:b w:val="0"/>
      <w:color w:val="2E74B5" w:themeColor="accent1" w:themeShade="BF"/>
      <w:lang w:eastAsia="es-CL"/>
    </w:rPr>
  </w:style>
  <w:style w:type="paragraph" w:styleId="TDC1">
    <w:name w:val="toc 1"/>
    <w:basedOn w:val="Normal"/>
    <w:next w:val="Normal"/>
    <w:autoRedefine/>
    <w:uiPriority w:val="39"/>
    <w:unhideWhenUsed/>
    <w:rsid w:val="001B4265"/>
    <w:pPr>
      <w:spacing w:after="100"/>
    </w:pPr>
  </w:style>
  <w:style w:type="paragraph" w:styleId="TDC2">
    <w:name w:val="toc 2"/>
    <w:basedOn w:val="Normal"/>
    <w:next w:val="Normal"/>
    <w:autoRedefine/>
    <w:uiPriority w:val="39"/>
    <w:unhideWhenUsed/>
    <w:rsid w:val="001B4265"/>
    <w:pPr>
      <w:spacing w:after="100"/>
      <w:ind w:left="220"/>
    </w:pPr>
  </w:style>
  <w:style w:type="character" w:styleId="Hipervnculo">
    <w:name w:val="Hyperlink"/>
    <w:basedOn w:val="Fuentedeprrafopredeter"/>
    <w:uiPriority w:val="99"/>
    <w:unhideWhenUsed/>
    <w:rsid w:val="001B4265"/>
    <w:rPr>
      <w:color w:val="0563C1" w:themeColor="hyperlink"/>
      <w:u w:val="single"/>
    </w:rPr>
  </w:style>
  <w:style w:type="paragraph" w:styleId="Ttulo">
    <w:name w:val="Title"/>
    <w:basedOn w:val="Normal"/>
    <w:next w:val="Normal"/>
    <w:link w:val="TtuloCar"/>
    <w:uiPriority w:val="10"/>
    <w:qFormat/>
    <w:rsid w:val="007A61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6156"/>
    <w:rPr>
      <w:rFonts w:asciiTheme="majorHAnsi" w:eastAsiaTheme="majorEastAsia" w:hAnsiTheme="majorHAnsi" w:cstheme="majorBidi"/>
      <w:spacing w:val="-10"/>
      <w:kern w:val="28"/>
      <w:sz w:val="56"/>
      <w:szCs w:val="56"/>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DD3448"/>
    <w:pPr>
      <w:spacing w:after="0" w:line="240" w:lineRule="auto"/>
    </w:pPr>
  </w:style>
  <w:style w:type="character" w:styleId="Refdecomentario">
    <w:name w:val="annotation reference"/>
    <w:basedOn w:val="Fuentedeprrafopredeter"/>
    <w:uiPriority w:val="99"/>
    <w:semiHidden/>
    <w:unhideWhenUsed/>
    <w:rsid w:val="0039487B"/>
    <w:rPr>
      <w:sz w:val="16"/>
      <w:szCs w:val="16"/>
    </w:rPr>
  </w:style>
  <w:style w:type="paragraph" w:styleId="Textocomentario">
    <w:name w:val="annotation text"/>
    <w:basedOn w:val="Normal"/>
    <w:link w:val="TextocomentarioCar"/>
    <w:uiPriority w:val="99"/>
    <w:unhideWhenUsed/>
    <w:rsid w:val="0039487B"/>
    <w:pPr>
      <w:spacing w:line="240" w:lineRule="auto"/>
    </w:pPr>
    <w:rPr>
      <w:sz w:val="20"/>
      <w:szCs w:val="20"/>
    </w:rPr>
  </w:style>
  <w:style w:type="character" w:customStyle="1" w:styleId="TextocomentarioCar">
    <w:name w:val="Texto comentario Car"/>
    <w:basedOn w:val="Fuentedeprrafopredeter"/>
    <w:link w:val="Textocomentario"/>
    <w:uiPriority w:val="99"/>
    <w:rsid w:val="0039487B"/>
    <w:rPr>
      <w:sz w:val="20"/>
      <w:szCs w:val="20"/>
    </w:rPr>
  </w:style>
  <w:style w:type="paragraph" w:styleId="Asuntodelcomentario">
    <w:name w:val="annotation subject"/>
    <w:basedOn w:val="Textocomentario"/>
    <w:next w:val="Textocomentario"/>
    <w:link w:val="AsuntodelcomentarioCar"/>
    <w:uiPriority w:val="99"/>
    <w:semiHidden/>
    <w:unhideWhenUsed/>
    <w:rsid w:val="0039487B"/>
    <w:rPr>
      <w:b/>
      <w:bCs/>
    </w:rPr>
  </w:style>
  <w:style w:type="character" w:customStyle="1" w:styleId="AsuntodelcomentarioCar">
    <w:name w:val="Asunto del comentario Car"/>
    <w:basedOn w:val="TextocomentarioCar"/>
    <w:link w:val="Asuntodelcomentario"/>
    <w:uiPriority w:val="99"/>
    <w:semiHidden/>
    <w:rsid w:val="0039487B"/>
    <w:rPr>
      <w:b/>
      <w:bCs/>
      <w:sz w:val="20"/>
      <w:szCs w:val="20"/>
    </w:rPr>
  </w:style>
  <w:style w:type="character" w:styleId="Textoennegrita">
    <w:name w:val="Strong"/>
    <w:basedOn w:val="Fuentedeprrafopredeter"/>
    <w:uiPriority w:val="22"/>
    <w:qFormat/>
    <w:rsid w:val="00C32D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81598">
      <w:bodyDiv w:val="1"/>
      <w:marLeft w:val="0"/>
      <w:marRight w:val="0"/>
      <w:marTop w:val="0"/>
      <w:marBottom w:val="0"/>
      <w:divBdr>
        <w:top w:val="none" w:sz="0" w:space="0" w:color="auto"/>
        <w:left w:val="none" w:sz="0" w:space="0" w:color="auto"/>
        <w:bottom w:val="none" w:sz="0" w:space="0" w:color="auto"/>
        <w:right w:val="none" w:sz="0" w:space="0" w:color="auto"/>
      </w:divBdr>
    </w:div>
    <w:div w:id="591739879">
      <w:bodyDiv w:val="1"/>
      <w:marLeft w:val="0"/>
      <w:marRight w:val="0"/>
      <w:marTop w:val="0"/>
      <w:marBottom w:val="0"/>
      <w:divBdr>
        <w:top w:val="none" w:sz="0" w:space="0" w:color="auto"/>
        <w:left w:val="none" w:sz="0" w:space="0" w:color="auto"/>
        <w:bottom w:val="none" w:sz="0" w:space="0" w:color="auto"/>
        <w:right w:val="none" w:sz="0" w:space="0" w:color="auto"/>
      </w:divBdr>
    </w:div>
    <w:div w:id="732462840">
      <w:bodyDiv w:val="1"/>
      <w:marLeft w:val="0"/>
      <w:marRight w:val="0"/>
      <w:marTop w:val="0"/>
      <w:marBottom w:val="0"/>
      <w:divBdr>
        <w:top w:val="none" w:sz="0" w:space="0" w:color="auto"/>
        <w:left w:val="none" w:sz="0" w:space="0" w:color="auto"/>
        <w:bottom w:val="none" w:sz="0" w:space="0" w:color="auto"/>
        <w:right w:val="none" w:sz="0" w:space="0" w:color="auto"/>
      </w:divBdr>
    </w:div>
    <w:div w:id="1039085042">
      <w:bodyDiv w:val="1"/>
      <w:marLeft w:val="0"/>
      <w:marRight w:val="0"/>
      <w:marTop w:val="0"/>
      <w:marBottom w:val="0"/>
      <w:divBdr>
        <w:top w:val="none" w:sz="0" w:space="0" w:color="auto"/>
        <w:left w:val="none" w:sz="0" w:space="0" w:color="auto"/>
        <w:bottom w:val="none" w:sz="0" w:space="0" w:color="auto"/>
        <w:right w:val="none" w:sz="0" w:space="0" w:color="auto"/>
      </w:divBdr>
      <w:divsChild>
        <w:div w:id="1525094572">
          <w:marLeft w:val="0"/>
          <w:marRight w:val="0"/>
          <w:marTop w:val="0"/>
          <w:marBottom w:val="0"/>
          <w:divBdr>
            <w:top w:val="none" w:sz="0" w:space="0" w:color="auto"/>
            <w:left w:val="none" w:sz="0" w:space="0" w:color="auto"/>
            <w:bottom w:val="none" w:sz="0" w:space="0" w:color="auto"/>
            <w:right w:val="none" w:sz="0" w:space="0" w:color="auto"/>
          </w:divBdr>
        </w:div>
        <w:div w:id="269511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B6D3DD73-2937-4DF2-92CA-B63E9116163A}">
    <t:Anchor>
      <t:Comment id="956957663"/>
    </t:Anchor>
    <t:History>
      <t:Event id="{371C16AA-BB5F-48B4-86B9-542B2156C6CF}" time="2025-11-20T22:33:01.346Z">
        <t:Attribution userId="S::loreto.wahr@moptt.gov.cl::c8ae8aff-5a1a-4d51-9e70-bba0d4dde772" userProvider="AD" userName="Loreto Wahr Rivas (ARQ)"/>
        <t:Anchor>
          <t:Comment id="956957663"/>
        </t:Anchor>
        <t:Create/>
      </t:Event>
      <t:Event id="{EDA67B9B-1C2A-4814-AEDC-09519A64444E}" time="2025-11-20T22:33:01.346Z">
        <t:Attribution userId="S::loreto.wahr@moptt.gov.cl::c8ae8aff-5a1a-4d51-9e70-bba0d4dde772" userProvider="AD" userName="Loreto Wahr Rivas (ARQ)"/>
        <t:Anchor>
          <t:Comment id="956957663"/>
        </t:Anchor>
        <t:Assign userId="S::gonzalo.valdivia@moptt.gov.cl::fc21da66-7e78-405e-bfc6-0d6572bcbfa1" userProvider="AD" userName="Gonzalo Valdivia Cornejo (Arquitectura)"/>
      </t:Event>
      <t:Event id="{952B831E-050C-4C9F-A38D-A9439A365311}" time="2025-11-20T22:33:01.346Z">
        <t:Attribution userId="S::loreto.wahr@moptt.gov.cl::c8ae8aff-5a1a-4d51-9e70-bba0d4dde772" userProvider="AD" userName="Loreto Wahr Rivas (ARQ)"/>
        <t:Anchor>
          <t:Comment id="956957663"/>
        </t:Anchor>
        <t:SetTitle title="@Gonzalo Valdivia Cornejo (Arquitectura) verificar"/>
      </t:Event>
      <t:Event id="{87D1050F-B7C1-4A06-AB0D-2D05759BCBC6}" time="2025-11-21T15:01:04.684Z">
        <t:Attribution userId="S::gonzalo.valdivia@moptt.gov.cl::fc21da66-7e78-405e-bfc6-0d6572bcbfa1" userProvider="AD" userName="Gonzalo Valdivia Cornejo (Arquitectura)"/>
        <t:Progress percentComplete="100"/>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da5ee7-e9f1-46f0-b645-b9c72a021db2" xsi:nil="true"/>
    <lcf76f155ced4ddcb4097134ff3c332f xmlns="18ca8783-e005-497a-8574-ae55c23c988d">
      <Terms xmlns="http://schemas.microsoft.com/office/infopath/2007/PartnerControls"/>
    </lcf76f155ced4ddcb4097134ff3c332f>
    <Hipervinculo xmlns="18ca8783-e005-497a-8574-ae55c23c988d">
      <Url xsi:nil="true"/>
      <Description xsi:nil="true"/>
    </Hipervincul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8E3F60A7CBBA04EB5F6F09052770D7B" ma:contentTypeVersion="14" ma:contentTypeDescription="Crear nuevo documento." ma:contentTypeScope="" ma:versionID="56d3b5e7708692e95b34e8fa96a97cce">
  <xsd:schema xmlns:xsd="http://www.w3.org/2001/XMLSchema" xmlns:xs="http://www.w3.org/2001/XMLSchema" xmlns:p="http://schemas.microsoft.com/office/2006/metadata/properties" xmlns:ns2="18ca8783-e005-497a-8574-ae55c23c988d" xmlns:ns3="e0da5ee7-e9f1-46f0-b645-b9c72a021db2" targetNamespace="http://schemas.microsoft.com/office/2006/metadata/properties" ma:root="true" ma:fieldsID="fd6f858cf4de3bc17682c9606ea14d70" ns2:_="" ns3:_="">
    <xsd:import namespace="18ca8783-e005-497a-8574-ae55c23c988d"/>
    <xsd:import namespace="e0da5ee7-e9f1-46f0-b645-b9c72a021d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Hipervincul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a8783-e005-497a-8574-ae55c23c9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b895328a-50d3-4e62-9b24-0e6b011ef2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ipervinculo" ma:index="21" nillable="true" ma:displayName="Hipervinculo" ma:format="Hyperlink" ma:internalName="Hipervinculo">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da5ee7-e9f1-46f0-b645-b9c72a021d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76d720-129e-4550-86fa-86c2470978a8}" ma:internalName="TaxCatchAll" ma:showField="CatchAllData" ma:web="e0da5ee7-e9f1-46f0-b645-b9c72a021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197290-D1F2-4E6E-BE87-BE9F701C7060}">
  <ds:schemaRefs>
    <ds:schemaRef ds:uri="http://schemas.microsoft.com/office/2006/metadata/properties"/>
    <ds:schemaRef ds:uri="http://schemas.microsoft.com/office/infopath/2007/PartnerControls"/>
    <ds:schemaRef ds:uri="e0da5ee7-e9f1-46f0-b645-b9c72a021db2"/>
    <ds:schemaRef ds:uri="18ca8783-e005-497a-8574-ae55c23c988d"/>
  </ds:schemaRefs>
</ds:datastoreItem>
</file>

<file path=customXml/itemProps2.xml><?xml version="1.0" encoding="utf-8"?>
<ds:datastoreItem xmlns:ds="http://schemas.openxmlformats.org/officeDocument/2006/customXml" ds:itemID="{03FDD27A-FF2E-4B79-A669-27367D79DB33}">
  <ds:schemaRefs>
    <ds:schemaRef ds:uri="http://schemas.openxmlformats.org/officeDocument/2006/bibliography"/>
  </ds:schemaRefs>
</ds:datastoreItem>
</file>

<file path=customXml/itemProps3.xml><?xml version="1.0" encoding="utf-8"?>
<ds:datastoreItem xmlns:ds="http://schemas.openxmlformats.org/officeDocument/2006/customXml" ds:itemID="{7C6805E5-D095-4600-B054-9A5BFA2B8A23}">
  <ds:schemaRefs>
    <ds:schemaRef ds:uri="http://schemas.microsoft.com/sharepoint/v3/contenttype/forms"/>
  </ds:schemaRefs>
</ds:datastoreItem>
</file>

<file path=customXml/itemProps4.xml><?xml version="1.0" encoding="utf-8"?>
<ds:datastoreItem xmlns:ds="http://schemas.openxmlformats.org/officeDocument/2006/customXml" ds:itemID="{B4797EF6-6B78-4540-8589-0D4F566B1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a8783-e005-497a-8574-ae55c23c988d"/>
    <ds:schemaRef ds:uri="e0da5ee7-e9f1-46f0-b645-b9c72a021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2490</Words>
  <Characters>13996</Characters>
  <Application>Microsoft Office Word</Application>
  <DocSecurity>0</DocSecurity>
  <Lines>411</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Arce González</dc:creator>
  <cp:keywords/>
  <dc:description/>
  <cp:lastModifiedBy>Leticia Rivas Soto (SOP)</cp:lastModifiedBy>
  <cp:revision>2</cp:revision>
  <cp:lastPrinted>2015-05-13T17:59:00Z</cp:lastPrinted>
  <dcterms:created xsi:type="dcterms:W3CDTF">2026-02-06T13:00:00Z</dcterms:created>
  <dcterms:modified xsi:type="dcterms:W3CDTF">2026-02-06T13:00:00Z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0x01010088E3F60A7CBBA04EB5F6F09052770D7B</vt:lpwstr>
  </property>
  <property fmtid="{D5CDD505-2E9C-101B-9397-08002B2CF9AE}" pid="3" name="MediaServiceImageTags">
    <vt:lpwstr/>
  </property>
</Properties>
</file>